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center"/>
        <w:outlineLvl w:val="9"/>
        <w:rPr>
          <w:rFonts w:hint="eastAsia" w:ascii="仿宋_GB2312" w:hAnsi="仿宋_GB2312" w:eastAsia="仿宋_GB2312" w:cs="仿宋_GB2312"/>
          <w:b/>
          <w:color w:val="FF000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  <w:lang w:eastAsia="zh-CN"/>
        </w:rPr>
        <w:t>项目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6：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eastAsia="zh-CN"/>
        </w:rPr>
        <w:t>垃圾分类，从我做起——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家庭垃圾分类收集装置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展</w:t>
      </w:r>
    </w:p>
    <w:p>
      <w:pPr>
        <w:pStyle w:val="19"/>
        <w:numPr>
          <w:ilvl w:val="-1"/>
          <w:numId w:val="0"/>
        </w:numPr>
        <w:ind w:left="0" w:firstLine="0" w:firstLineChars="0"/>
        <w:rPr>
          <w:rFonts w:hint="eastAsia" w:ascii="仿宋_GB2312" w:hAnsi="仿宋_GB2312" w:eastAsia="仿宋_GB2312" w:cs="仿宋_GB2312"/>
          <w:b/>
          <w:bCs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  <w:lang w:eastAsia="zh-CN"/>
        </w:rPr>
        <w:t>一、活动背景</w:t>
      </w:r>
      <w:bookmarkStart w:id="0" w:name="_GoBack"/>
      <w:bookmarkEnd w:id="0"/>
    </w:p>
    <w:p>
      <w:pPr>
        <w:pStyle w:val="19"/>
        <w:ind w:firstLine="565" w:firstLineChars="202"/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生活垃圾分类收集的目的是最大限度地减少污染，提高城市的环境质量。实现废旧物资弃置最小化，达到垃圾处理的减量化、无害化、资源化的目的。便于垃圾处理和处置，减少垃圾的处理费用，减轻市民的负担。便于垃圾中有用物资回收利用，实现资源的循环利用。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早在2014年，我们的活动就曾高度关注垃圾分类主题，开展了“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垃圾分类我践行，生态文明再创新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”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系列活动。</w:t>
      </w:r>
    </w:p>
    <w:p>
      <w:pPr>
        <w:pStyle w:val="19"/>
        <w:ind w:firstLine="565" w:firstLineChars="202"/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2019年上海将力争全面建成生活垃圾分类体系，并于2020年全面达标。推进生活垃圾分类和处置是重中之重。垃圾分类关系千家万户，了解关于生活垃圾分类和相关知识尤为重要。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那就让我们再次聚焦家庭生活垃圾，设计制作一款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家庭垃圾分类收集装置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。</w:t>
      </w:r>
    </w:p>
    <w:p>
      <w:pPr>
        <w:pStyle w:val="6"/>
        <w:spacing w:line="400" w:lineRule="exact"/>
        <w:jc w:val="center"/>
        <w:rPr>
          <w:rFonts w:ascii="仿宋" w:hAnsi="仿宋" w:eastAsia="仿宋"/>
          <w:b/>
          <w:color w:val="0F0F0F"/>
          <w:sz w:val="28"/>
          <w:szCs w:val="28"/>
        </w:rPr>
      </w:pPr>
      <w:r>
        <w:rPr>
          <w:rFonts w:ascii="仿宋" w:hAnsi="仿宋" w:eastAsia="仿宋"/>
          <w:b/>
          <w:color w:val="0F0F0F"/>
          <w:sz w:val="28"/>
          <w:szCs w:val="28"/>
        </w:rPr>
        <w:t>生活垃圾</w:t>
      </w:r>
      <w:r>
        <w:rPr>
          <w:rFonts w:hint="eastAsia" w:ascii="仿宋" w:hAnsi="仿宋" w:eastAsia="仿宋"/>
          <w:b/>
          <w:color w:val="0F0F0F"/>
          <w:sz w:val="28"/>
          <w:szCs w:val="28"/>
        </w:rPr>
        <w:t>分类及产生比例表</w:t>
      </w:r>
    </w:p>
    <w:tbl>
      <w:tblPr>
        <w:tblStyle w:val="9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4"/>
        <w:gridCol w:w="2268"/>
        <w:gridCol w:w="3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</w:tcPr>
          <w:p>
            <w:pPr>
              <w:pStyle w:val="6"/>
              <w:spacing w:line="400" w:lineRule="exact"/>
              <w:rPr>
                <w:rFonts w:ascii="仿宋" w:hAnsi="仿宋" w:eastAsia="仿宋"/>
                <w:color w:val="0F0F0F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F0F0F"/>
                <w:sz w:val="28"/>
                <w:szCs w:val="28"/>
              </w:rPr>
              <w:t>类别</w:t>
            </w:r>
          </w:p>
        </w:tc>
        <w:tc>
          <w:tcPr>
            <w:tcW w:w="2268" w:type="dxa"/>
          </w:tcPr>
          <w:p>
            <w:pPr>
              <w:pStyle w:val="6"/>
              <w:spacing w:line="400" w:lineRule="exact"/>
              <w:rPr>
                <w:rFonts w:ascii="仿宋" w:hAnsi="仿宋" w:eastAsia="仿宋"/>
                <w:color w:val="0F0F0F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F0F0F"/>
                <w:sz w:val="28"/>
                <w:szCs w:val="28"/>
              </w:rPr>
              <w:t>垃圾</w:t>
            </w:r>
            <w:r>
              <w:rPr>
                <w:rFonts w:ascii="仿宋" w:hAnsi="仿宋" w:eastAsia="仿宋"/>
                <w:color w:val="0F0F0F"/>
                <w:sz w:val="28"/>
                <w:szCs w:val="28"/>
              </w:rPr>
              <w:t>名称</w:t>
            </w:r>
          </w:p>
        </w:tc>
        <w:tc>
          <w:tcPr>
            <w:tcW w:w="3118" w:type="dxa"/>
          </w:tcPr>
          <w:p>
            <w:pPr>
              <w:pStyle w:val="6"/>
              <w:spacing w:line="400" w:lineRule="exact"/>
              <w:rPr>
                <w:rFonts w:ascii="仿宋" w:hAnsi="仿宋" w:eastAsia="仿宋"/>
                <w:color w:val="0F0F0F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F0F0F"/>
                <w:sz w:val="28"/>
                <w:szCs w:val="28"/>
              </w:rPr>
              <w:t>垃圾</w:t>
            </w:r>
            <w:r>
              <w:rPr>
                <w:rFonts w:ascii="仿宋" w:hAnsi="仿宋" w:eastAsia="仿宋"/>
                <w:color w:val="0F0F0F"/>
                <w:sz w:val="28"/>
                <w:szCs w:val="28"/>
              </w:rPr>
              <w:t>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</w:tcPr>
          <w:p>
            <w:pPr>
              <w:pStyle w:val="6"/>
              <w:spacing w:line="400" w:lineRule="exact"/>
              <w:rPr>
                <w:rFonts w:ascii="仿宋" w:hAnsi="仿宋" w:eastAsia="仿宋"/>
                <w:color w:val="0F0F0F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F0F0F"/>
                <w:sz w:val="28"/>
                <w:szCs w:val="28"/>
              </w:rPr>
              <w:t>第一类可</w:t>
            </w:r>
            <w:r>
              <w:rPr>
                <w:rFonts w:ascii="仿宋" w:hAnsi="仿宋" w:eastAsia="仿宋"/>
                <w:color w:val="0F0F0F"/>
                <w:sz w:val="28"/>
                <w:szCs w:val="28"/>
              </w:rPr>
              <w:t>回收</w:t>
            </w:r>
          </w:p>
          <w:p>
            <w:pPr>
              <w:pStyle w:val="6"/>
              <w:spacing w:line="400" w:lineRule="exact"/>
              <w:rPr>
                <w:rFonts w:ascii="仿宋" w:hAnsi="仿宋" w:eastAsia="仿宋"/>
                <w:color w:val="0F0F0F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F0F0F"/>
                <w:sz w:val="28"/>
                <w:szCs w:val="28"/>
              </w:rPr>
              <w:t>干垃圾(无机垃圾)</w:t>
            </w:r>
          </w:p>
        </w:tc>
        <w:tc>
          <w:tcPr>
            <w:tcW w:w="2268" w:type="dxa"/>
          </w:tcPr>
          <w:p>
            <w:pPr>
              <w:pStyle w:val="6"/>
              <w:spacing w:line="400" w:lineRule="exact"/>
              <w:rPr>
                <w:rFonts w:ascii="仿宋" w:hAnsi="仿宋" w:eastAsia="仿宋"/>
                <w:color w:val="0F0F0F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F0F0F"/>
                <w:sz w:val="28"/>
                <w:szCs w:val="28"/>
              </w:rPr>
              <w:t>纸、织物、橡胶、塑料、金属、玻璃等</w:t>
            </w:r>
          </w:p>
        </w:tc>
        <w:tc>
          <w:tcPr>
            <w:tcW w:w="3118" w:type="dxa"/>
          </w:tcPr>
          <w:p>
            <w:pPr>
              <w:pStyle w:val="6"/>
              <w:spacing w:line="400" w:lineRule="exact"/>
              <w:rPr>
                <w:rFonts w:ascii="仿宋" w:hAnsi="仿宋" w:eastAsia="仿宋"/>
                <w:color w:val="0F0F0F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F0F0F"/>
                <w:sz w:val="28"/>
                <w:szCs w:val="28"/>
              </w:rPr>
              <w:t>20%为废纸、塑料类，约4%为玻璃，2</w:t>
            </w:r>
            <w:r>
              <w:rPr>
                <w:rFonts w:ascii="仿宋" w:hAnsi="仿宋" w:eastAsia="仿宋"/>
                <w:color w:val="0F0F0F"/>
                <w:sz w:val="28"/>
                <w:szCs w:val="28"/>
              </w:rPr>
              <w:t>%</w:t>
            </w:r>
            <w:r>
              <w:rPr>
                <w:rFonts w:hint="eastAsia" w:ascii="仿宋" w:hAnsi="仿宋" w:eastAsia="仿宋"/>
                <w:color w:val="0F0F0F"/>
                <w:sz w:val="28"/>
                <w:szCs w:val="28"/>
              </w:rPr>
              <w:t>为金属、布类等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</w:tcPr>
          <w:p>
            <w:pPr>
              <w:pStyle w:val="6"/>
              <w:spacing w:line="400" w:lineRule="exact"/>
              <w:rPr>
                <w:rFonts w:ascii="仿宋" w:hAnsi="仿宋" w:eastAsia="仿宋"/>
                <w:color w:val="0F0F0F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F0F0F"/>
                <w:sz w:val="28"/>
                <w:szCs w:val="28"/>
              </w:rPr>
              <w:t>第二类不可回收</w:t>
            </w:r>
          </w:p>
          <w:p>
            <w:pPr>
              <w:pStyle w:val="6"/>
              <w:spacing w:line="400" w:lineRule="exact"/>
              <w:rPr>
                <w:rFonts w:ascii="仿宋" w:hAnsi="仿宋" w:eastAsia="仿宋"/>
                <w:color w:val="0F0F0F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F0F0F"/>
                <w:sz w:val="28"/>
                <w:szCs w:val="28"/>
              </w:rPr>
              <w:t>湿垃圾(有机垃圾)</w:t>
            </w:r>
          </w:p>
        </w:tc>
        <w:tc>
          <w:tcPr>
            <w:tcW w:w="2268" w:type="dxa"/>
          </w:tcPr>
          <w:p>
            <w:pPr>
              <w:pStyle w:val="6"/>
              <w:spacing w:line="400" w:lineRule="exact"/>
              <w:rPr>
                <w:rFonts w:ascii="仿宋" w:hAnsi="仿宋" w:eastAsia="仿宋"/>
                <w:color w:val="0F0F0F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F0F0F"/>
                <w:sz w:val="28"/>
                <w:szCs w:val="28"/>
              </w:rPr>
              <w:t>厨余物、果皮、花草、灰土等</w:t>
            </w:r>
          </w:p>
        </w:tc>
        <w:tc>
          <w:tcPr>
            <w:tcW w:w="3118" w:type="dxa"/>
          </w:tcPr>
          <w:p>
            <w:pPr>
              <w:pStyle w:val="6"/>
              <w:spacing w:line="400" w:lineRule="exact"/>
              <w:rPr>
                <w:rFonts w:ascii="仿宋" w:hAnsi="仿宋" w:eastAsia="仿宋"/>
                <w:color w:val="0F0F0F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F0F0F"/>
                <w:sz w:val="28"/>
                <w:szCs w:val="28"/>
              </w:rPr>
              <w:t>70%为厨余物、果皮等有机垃圾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</w:tcPr>
          <w:p>
            <w:pPr>
              <w:pStyle w:val="6"/>
              <w:spacing w:line="400" w:lineRule="exact"/>
              <w:rPr>
                <w:rFonts w:ascii="仿宋" w:hAnsi="仿宋" w:eastAsia="仿宋"/>
                <w:color w:val="0F0F0F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F0F0F"/>
                <w:sz w:val="28"/>
                <w:szCs w:val="28"/>
              </w:rPr>
              <w:t>第三类</w:t>
            </w:r>
          </w:p>
          <w:p>
            <w:pPr>
              <w:pStyle w:val="6"/>
              <w:spacing w:line="400" w:lineRule="exact"/>
              <w:rPr>
                <w:rFonts w:ascii="仿宋" w:hAnsi="仿宋" w:eastAsia="仿宋"/>
                <w:color w:val="0F0F0F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F0F0F"/>
                <w:sz w:val="28"/>
                <w:szCs w:val="28"/>
              </w:rPr>
              <w:t>有毒有害垃圾</w:t>
            </w:r>
          </w:p>
        </w:tc>
        <w:tc>
          <w:tcPr>
            <w:tcW w:w="2268" w:type="dxa"/>
          </w:tcPr>
          <w:p>
            <w:pPr>
              <w:pStyle w:val="6"/>
              <w:spacing w:line="400" w:lineRule="exact"/>
              <w:rPr>
                <w:rFonts w:ascii="仿宋" w:hAnsi="仿宋" w:eastAsia="仿宋"/>
                <w:color w:val="0F0F0F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F0F0F"/>
                <w:sz w:val="28"/>
                <w:szCs w:val="28"/>
              </w:rPr>
              <w:t>废电池、荧光灯管、水银温度计、油漆桶、过期药品、化妆品等</w:t>
            </w:r>
          </w:p>
        </w:tc>
        <w:tc>
          <w:tcPr>
            <w:tcW w:w="3118" w:type="dxa"/>
          </w:tcPr>
          <w:p>
            <w:pPr>
              <w:pStyle w:val="6"/>
              <w:spacing w:line="400" w:lineRule="exact"/>
              <w:rPr>
                <w:rFonts w:ascii="仿宋" w:hAnsi="仿宋" w:eastAsia="仿宋"/>
                <w:color w:val="0F0F0F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F0F0F"/>
                <w:sz w:val="28"/>
                <w:szCs w:val="28"/>
              </w:rPr>
              <w:t>2</w:t>
            </w:r>
            <w:r>
              <w:rPr>
                <w:rFonts w:ascii="仿宋" w:hAnsi="仿宋" w:eastAsia="仿宋"/>
                <w:color w:val="0F0F0F"/>
                <w:sz w:val="28"/>
                <w:szCs w:val="28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</w:tcPr>
          <w:p>
            <w:pPr>
              <w:pStyle w:val="6"/>
              <w:spacing w:line="400" w:lineRule="exact"/>
              <w:rPr>
                <w:rFonts w:ascii="仿宋" w:hAnsi="仿宋" w:eastAsia="仿宋"/>
                <w:color w:val="0F0F0F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F0F0F"/>
                <w:sz w:val="28"/>
                <w:szCs w:val="28"/>
              </w:rPr>
              <w:t>大件垃圾</w:t>
            </w:r>
          </w:p>
        </w:tc>
        <w:tc>
          <w:tcPr>
            <w:tcW w:w="2268" w:type="dxa"/>
          </w:tcPr>
          <w:p>
            <w:pPr>
              <w:pStyle w:val="6"/>
              <w:spacing w:line="400" w:lineRule="exact"/>
              <w:rPr>
                <w:rFonts w:ascii="仿宋" w:hAnsi="仿宋" w:eastAsia="仿宋"/>
                <w:color w:val="0F0F0F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F0F0F"/>
                <w:sz w:val="28"/>
                <w:szCs w:val="28"/>
              </w:rPr>
              <w:t>旧家俱、旧家电等</w:t>
            </w:r>
          </w:p>
        </w:tc>
        <w:tc>
          <w:tcPr>
            <w:tcW w:w="3118" w:type="dxa"/>
          </w:tcPr>
          <w:p>
            <w:pPr>
              <w:pStyle w:val="6"/>
              <w:spacing w:line="400" w:lineRule="exact"/>
              <w:rPr>
                <w:rFonts w:ascii="仿宋" w:hAnsi="仿宋" w:eastAsia="仿宋"/>
                <w:color w:val="0F0F0F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F0F0F"/>
                <w:sz w:val="28"/>
                <w:szCs w:val="28"/>
              </w:rPr>
              <w:t>2</w:t>
            </w:r>
            <w:r>
              <w:rPr>
                <w:rFonts w:ascii="仿宋" w:hAnsi="仿宋" w:eastAsia="仿宋"/>
                <w:color w:val="0F0F0F"/>
                <w:sz w:val="28"/>
                <w:szCs w:val="28"/>
              </w:rPr>
              <w:t>%</w:t>
            </w:r>
          </w:p>
        </w:tc>
      </w:tr>
    </w:tbl>
    <w:p>
      <w:pPr>
        <w:pStyle w:val="19"/>
        <w:ind w:firstLine="0" w:firstLineChars="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drawing>
          <wp:inline distT="0" distB="0" distL="0" distR="0">
            <wp:extent cx="4987290" cy="3276600"/>
            <wp:effectExtent l="0" t="0" r="3810" b="0"/>
            <wp:docPr id="2" name="图片 2" descr="C:\Users\Administrator\AppData\Local\Temp\WeChat Files\93b1ecefa2b784382b902fb62301ef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AppData\Local\Temp\WeChat Files\93b1ecefa2b784382b902fb62301ef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93905" cy="3280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9"/>
        <w:ind w:firstLine="0" w:firstLineChars="0"/>
        <w:rPr>
          <w:rFonts w:ascii="宋体" w:hAnsi="宋体"/>
          <w:sz w:val="28"/>
          <w:szCs w:val="28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rFonts w:hint="eastAsia" w:ascii="仿宋_GB2312" w:hAnsi="仿宋_GB2312" w:eastAsia="仿宋_GB2312" w:cs="仿宋_GB2312"/>
          <w:b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  <w:lang w:eastAsia="zh-CN"/>
        </w:rPr>
        <w:t>二、</w:t>
      </w: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</w:rPr>
        <w:t>活动内容</w:t>
      </w:r>
    </w:p>
    <w:p>
      <w:pPr>
        <w:pStyle w:val="19"/>
        <w:ind w:firstLine="565" w:firstLineChars="202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目前生活垃圾分类已经是每个家庭不可回避的问题，如何从生活实际出发，设计制作切实可行垃圾分类装和处置其中占70%厨余垃圾、果皮等有机垃圾（不可回收的湿垃圾），垃圾分类不正确和处置不当会引起后续收集的一系列问题。参赛者可以从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生活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垃圾分类（重点考虑分类和厨余垃圾先期处置）、收集、运输、处置的全程兼顾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进行设计与制作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，呈现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一项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 xml:space="preserve"> “家庭垃圾分类收集装置”的创意模型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让观众体验各类“家庭垃圾分类收集装置”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功能与效果。</w:t>
      </w:r>
    </w:p>
    <w:p>
      <w:pPr>
        <w:pStyle w:val="19"/>
        <w:numPr>
          <w:ilvl w:val="-1"/>
          <w:numId w:val="0"/>
        </w:numPr>
        <w:ind w:left="0" w:firstLine="0" w:firstLineChars="0"/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rFonts w:hint="eastAsia" w:ascii="仿宋_GB2312" w:hAnsi="仿宋_GB2312" w:eastAsia="仿宋_GB2312" w:cs="仿宋_GB2312"/>
          <w:b/>
          <w:bCs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  <w:lang w:eastAsia="zh-CN"/>
        </w:rPr>
        <w:t>三、要求和规则</w:t>
      </w:r>
    </w:p>
    <w:p>
      <w:pPr>
        <w:pStyle w:val="19"/>
        <w:ind w:firstLine="280" w:firstLineChars="100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.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参赛者必须有一件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“家庭垃圾分类收集装置”</w:t>
      </w:r>
    </w:p>
    <w:p>
      <w:pPr>
        <w:pStyle w:val="19"/>
        <w:spacing w:line="360" w:lineRule="auto"/>
        <w:ind w:left="0" w:leftChars="0" w:firstLine="280" w:firstLineChars="100"/>
        <w:jc w:val="left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.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作品有一定的原创性、实用性、合理性</w:t>
      </w:r>
    </w:p>
    <w:p>
      <w:pPr>
        <w:pStyle w:val="19"/>
        <w:spacing w:line="360" w:lineRule="auto"/>
        <w:ind w:firstLine="280" w:firstLineChars="100"/>
        <w:jc w:val="left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3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.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可运用多种形式展示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“家庭垃圾分类收集装置”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作品，如展板形式呈现作品的创意思想、工作原理、解决问题的技术方法等。</w:t>
      </w:r>
    </w:p>
    <w:p>
      <w:pPr>
        <w:pStyle w:val="19"/>
        <w:spacing w:line="360" w:lineRule="auto"/>
        <w:ind w:firstLine="280" w:firstLineChars="100"/>
        <w:jc w:val="left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4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 xml:space="preserve">参赛者应有热情友好地接待评委和观摩者。 </w:t>
      </w:r>
    </w:p>
    <w:p>
      <w:pPr>
        <w:pStyle w:val="19"/>
        <w:spacing w:line="360" w:lineRule="auto"/>
        <w:ind w:firstLine="280" w:firstLineChars="100"/>
        <w:jc w:val="left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5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作品基本尺寸长、宽、高不大于50厘米</w:t>
      </w:r>
    </w:p>
    <w:p>
      <w:pPr>
        <w:pStyle w:val="19"/>
        <w:numPr>
          <w:ilvl w:val="0"/>
          <w:numId w:val="0"/>
        </w:numPr>
        <w:ind w:firstLine="0" w:firstLineChars="0"/>
        <w:rPr>
          <w:rFonts w:hint="eastAsia" w:ascii="仿宋_GB2312" w:hAnsi="仿宋_GB2312" w:eastAsia="仿宋_GB2312" w:cs="仿宋_GB2312"/>
          <w:bCs/>
          <w:sz w:val="28"/>
          <w:szCs w:val="28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rFonts w:hint="eastAsia" w:ascii="仿宋_GB2312" w:hAnsi="仿宋_GB2312" w:eastAsia="仿宋_GB2312" w:cs="仿宋_GB2312"/>
          <w:b/>
          <w:bCs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  <w:lang w:eastAsia="zh-CN"/>
        </w:rPr>
        <w:t>四、活动评分</w:t>
      </w: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  <w:lang w:val="en-US" w:eastAsia="zh-CN"/>
        </w:rPr>
        <w:t>（总分100分）</w:t>
      </w:r>
    </w:p>
    <w:p>
      <w:pPr>
        <w:pStyle w:val="19"/>
        <w:numPr>
          <w:ilvl w:val="0"/>
          <w:numId w:val="0"/>
        </w:numPr>
        <w:spacing w:line="360" w:lineRule="auto"/>
        <w:ind w:firstLine="0" w:firstLineChars="0"/>
        <w:jc w:val="left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1、作品的原创性                 （20分）</w:t>
      </w:r>
    </w:p>
    <w:p>
      <w:pPr>
        <w:pStyle w:val="19"/>
        <w:numPr>
          <w:ilvl w:val="0"/>
          <w:numId w:val="0"/>
        </w:numPr>
        <w:spacing w:line="360" w:lineRule="auto"/>
        <w:ind w:firstLine="0" w:firstLineChars="0"/>
        <w:jc w:val="left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2、作品的实用性                 （20分）</w:t>
      </w:r>
    </w:p>
    <w:p>
      <w:pPr>
        <w:pStyle w:val="19"/>
        <w:numPr>
          <w:ilvl w:val="0"/>
          <w:numId w:val="0"/>
        </w:numPr>
        <w:spacing w:line="360" w:lineRule="auto"/>
        <w:ind w:firstLine="0" w:firstLineChars="0"/>
        <w:jc w:val="left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3、作品的制作工艺               （20分）</w:t>
      </w:r>
    </w:p>
    <w:p>
      <w:pPr>
        <w:pStyle w:val="19"/>
        <w:numPr>
          <w:ilvl w:val="0"/>
          <w:numId w:val="0"/>
        </w:numPr>
        <w:spacing w:line="360" w:lineRule="auto"/>
        <w:ind w:firstLine="0" w:firstLineChars="0"/>
        <w:jc w:val="left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4、作品演示的稳定性             （20分）</w:t>
      </w:r>
    </w:p>
    <w:p>
      <w:pPr>
        <w:pStyle w:val="19"/>
        <w:numPr>
          <w:ilvl w:val="0"/>
          <w:numId w:val="0"/>
        </w:numPr>
        <w:spacing w:line="360" w:lineRule="auto"/>
        <w:ind w:firstLine="0" w:firstLineChars="0"/>
        <w:jc w:val="left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5、展板表述清晰图文并茂         （10分）</w:t>
      </w:r>
    </w:p>
    <w:p>
      <w:pPr>
        <w:pStyle w:val="19"/>
        <w:numPr>
          <w:ilvl w:val="0"/>
          <w:numId w:val="0"/>
        </w:numPr>
        <w:spacing w:line="360" w:lineRule="auto"/>
        <w:ind w:firstLine="0" w:firstLineChars="0"/>
        <w:jc w:val="left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6、展示效果                     （10分）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3FC5"/>
    <w:rsid w:val="00041788"/>
    <w:rsid w:val="00104E52"/>
    <w:rsid w:val="001A7A29"/>
    <w:rsid w:val="00217195"/>
    <w:rsid w:val="002856CD"/>
    <w:rsid w:val="003316CB"/>
    <w:rsid w:val="0033232F"/>
    <w:rsid w:val="003550DC"/>
    <w:rsid w:val="003E519B"/>
    <w:rsid w:val="00417FC3"/>
    <w:rsid w:val="00555B78"/>
    <w:rsid w:val="005830EF"/>
    <w:rsid w:val="0058405B"/>
    <w:rsid w:val="0066086C"/>
    <w:rsid w:val="006B7829"/>
    <w:rsid w:val="006C1C71"/>
    <w:rsid w:val="006E2DFB"/>
    <w:rsid w:val="006E7540"/>
    <w:rsid w:val="00736CC1"/>
    <w:rsid w:val="007A2E8A"/>
    <w:rsid w:val="007C5943"/>
    <w:rsid w:val="008E6BB4"/>
    <w:rsid w:val="00915520"/>
    <w:rsid w:val="009B3427"/>
    <w:rsid w:val="00AE7E26"/>
    <w:rsid w:val="00B52375"/>
    <w:rsid w:val="00BD2C5F"/>
    <w:rsid w:val="00C00FEB"/>
    <w:rsid w:val="00C84923"/>
    <w:rsid w:val="00CB5C3F"/>
    <w:rsid w:val="00E94278"/>
    <w:rsid w:val="00F35A58"/>
    <w:rsid w:val="00F83FC5"/>
    <w:rsid w:val="00FB35FD"/>
    <w:rsid w:val="00FD5242"/>
    <w:rsid w:val="0BE72CCD"/>
    <w:rsid w:val="234642EA"/>
    <w:rsid w:val="4F512BB6"/>
    <w:rsid w:val="59A12D82"/>
    <w:rsid w:val="5DE254A7"/>
    <w:rsid w:val="6CAF055C"/>
    <w:rsid w:val="74190AFF"/>
    <w:rsid w:val="785F1A11"/>
    <w:rsid w:val="79D37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 w:line="480" w:lineRule="auto"/>
      <w:jc w:val="left"/>
    </w:pPr>
    <w:rPr>
      <w:rFonts w:ascii="微软雅黑" w:hAnsi="微软雅黑" w:eastAsia="宋体" w:cs="宋体"/>
      <w:kern w:val="0"/>
      <w:sz w:val="18"/>
      <w:szCs w:val="18"/>
    </w:rPr>
  </w:style>
  <w:style w:type="paragraph" w:styleId="7">
    <w:name w:val="annotation subject"/>
    <w:basedOn w:val="2"/>
    <w:next w:val="2"/>
    <w:link w:val="14"/>
    <w:semiHidden/>
    <w:unhideWhenUsed/>
    <w:qFormat/>
    <w:uiPriority w:val="99"/>
    <w:rPr>
      <w:b/>
      <w:bCs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qFormat/>
    <w:uiPriority w:val="99"/>
    <w:rPr>
      <w:color w:val="0000FF"/>
      <w:u w:val="single"/>
    </w:rPr>
  </w:style>
  <w:style w:type="character" w:styleId="12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3">
    <w:name w:val="批注文字 Char"/>
    <w:basedOn w:val="10"/>
    <w:link w:val="2"/>
    <w:semiHidden/>
    <w:qFormat/>
    <w:uiPriority w:val="99"/>
  </w:style>
  <w:style w:type="character" w:customStyle="1" w:styleId="14">
    <w:name w:val="批注主题 Char"/>
    <w:basedOn w:val="13"/>
    <w:link w:val="7"/>
    <w:semiHidden/>
    <w:qFormat/>
    <w:uiPriority w:val="99"/>
    <w:rPr>
      <w:b/>
      <w:bCs/>
    </w:rPr>
  </w:style>
  <w:style w:type="character" w:customStyle="1" w:styleId="15">
    <w:name w:val="批注框文本 Char"/>
    <w:basedOn w:val="10"/>
    <w:link w:val="3"/>
    <w:semiHidden/>
    <w:qFormat/>
    <w:uiPriority w:val="99"/>
    <w:rPr>
      <w:sz w:val="18"/>
      <w:szCs w:val="18"/>
    </w:rPr>
  </w:style>
  <w:style w:type="character" w:customStyle="1" w:styleId="16">
    <w:name w:val="页眉 Char"/>
    <w:basedOn w:val="10"/>
    <w:link w:val="5"/>
    <w:qFormat/>
    <w:uiPriority w:val="99"/>
    <w:rPr>
      <w:sz w:val="18"/>
      <w:szCs w:val="18"/>
    </w:rPr>
  </w:style>
  <w:style w:type="character" w:customStyle="1" w:styleId="17">
    <w:name w:val="页脚 Char"/>
    <w:basedOn w:val="10"/>
    <w:link w:val="4"/>
    <w:qFormat/>
    <w:uiPriority w:val="99"/>
    <w:rPr>
      <w:sz w:val="18"/>
      <w:szCs w:val="18"/>
    </w:rPr>
  </w:style>
  <w:style w:type="paragraph" w:customStyle="1" w:styleId="18">
    <w:name w:val="_Style 2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161</Words>
  <Characters>919</Characters>
  <Lines>7</Lines>
  <Paragraphs>2</Paragraphs>
  <TotalTime>6</TotalTime>
  <ScaleCrop>false</ScaleCrop>
  <LinksUpToDate>false</LinksUpToDate>
  <CharactersWithSpaces>1078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2019-04-09T01:31:00Z</dcterms:created>
  <dc:creator>微软用户</dc:creator>
  <cp:lastModifiedBy>zl</cp:lastModifiedBy>
  <dcterms:modified xsi:type="dcterms:W3CDTF">2019-06-02T13:06:01Z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