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006CAC">
      <w:pPr>
        <w:jc w:val="center"/>
        <w:rPr>
          <w:rFonts w:hint="eastAsia" w:ascii="华文中宋" w:hAnsi="华文中宋" w:eastAsia="华文中宋" w:cs="华文中宋"/>
          <w:b/>
          <w:color w:val="000000"/>
          <w:kern w:val="0"/>
          <w:sz w:val="36"/>
          <w:szCs w:val="36"/>
          <w:lang w:val="en-US" w:eastAsia="zh-CN"/>
        </w:rPr>
      </w:pPr>
      <w:r>
        <w:rPr>
          <w:rFonts w:hint="eastAsia" w:ascii="华文中宋" w:hAnsi="华文中宋" w:eastAsia="华文中宋" w:cs="华文中宋"/>
          <w:b/>
          <w:color w:val="000000"/>
          <w:kern w:val="0"/>
          <w:sz w:val="36"/>
          <w:szCs w:val="36"/>
          <w:lang w:val="en-US" w:eastAsia="zh-CN"/>
        </w:rPr>
        <w:t>上海市学生健康素养提升案例征集</w:t>
      </w:r>
    </w:p>
    <w:p w14:paraId="193A7F97">
      <w:pPr>
        <w:jc w:val="center"/>
        <w:rPr>
          <w:rFonts w:hint="eastAsia" w:ascii="华文中宋" w:hAnsi="华文中宋" w:eastAsia="华文中宋" w:cs="华文中宋"/>
          <w:b/>
          <w:color w:val="000000"/>
          <w:kern w:val="0"/>
          <w:sz w:val="36"/>
          <w:szCs w:val="36"/>
          <w:lang w:val="en-US" w:eastAsia="zh-CN"/>
        </w:rPr>
      </w:pPr>
      <w:r>
        <w:rPr>
          <w:rFonts w:hint="eastAsia" w:ascii="华文中宋" w:hAnsi="华文中宋" w:eastAsia="华文中宋" w:cs="华文中宋"/>
          <w:b/>
          <w:color w:val="000000"/>
          <w:kern w:val="0"/>
          <w:sz w:val="36"/>
          <w:szCs w:val="36"/>
        </w:rPr>
        <w:t>活动</w:t>
      </w:r>
      <w:r>
        <w:rPr>
          <w:rFonts w:hint="eastAsia" w:ascii="华文中宋" w:hAnsi="华文中宋" w:eastAsia="华文中宋" w:cs="华文中宋"/>
          <w:b/>
          <w:color w:val="000000"/>
          <w:kern w:val="0"/>
          <w:sz w:val="36"/>
          <w:szCs w:val="36"/>
          <w:lang w:val="en-US" w:eastAsia="zh-CN"/>
        </w:rPr>
        <w:t>方案</w:t>
      </w:r>
    </w:p>
    <w:p w14:paraId="39AE4304">
      <w:pPr>
        <w:jc w:val="center"/>
        <w:rPr>
          <w:rFonts w:hint="eastAsia" w:ascii="华文中宋" w:hAnsi="华文中宋" w:eastAsia="华文中宋" w:cs="华文中宋"/>
          <w:b/>
          <w:color w:val="000000"/>
          <w:kern w:val="0"/>
          <w:sz w:val="36"/>
          <w:szCs w:val="36"/>
          <w:lang w:val="en-US" w:eastAsia="zh-CN"/>
        </w:rPr>
      </w:pPr>
    </w:p>
    <w:p w14:paraId="4DCF4E29">
      <w:pPr>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为深入贯彻落实《“健康中国 2030”规划纲要》及《</w:t>
      </w:r>
      <w:r>
        <w:rPr>
          <w:rFonts w:hint="eastAsia" w:ascii="仿宋_GB2312" w:hAnsi="仿宋_GB2312" w:eastAsia="仿宋_GB2312" w:cs="仿宋_GB2312"/>
          <w:sz w:val="28"/>
          <w:szCs w:val="28"/>
        </w:rPr>
        <w:t>教育部等五部门关于全面加强和改进新时代学校卫生与健康教育工作的意见</w:t>
      </w:r>
      <w:r>
        <w:rPr>
          <w:rFonts w:hint="eastAsia" w:ascii="仿宋_GB2312" w:hAnsi="仿宋_GB2312" w:eastAsia="仿宋_GB2312" w:cs="仿宋_GB2312"/>
          <w:sz w:val="28"/>
          <w:szCs w:val="28"/>
          <w:lang w:val="en-US" w:eastAsia="zh-CN"/>
        </w:rPr>
        <w:t>》要求，进一步提升我市学生健康素养水平，上海</w:t>
      </w:r>
      <w:r>
        <w:rPr>
          <w:rFonts w:hint="eastAsia" w:ascii="仿宋_GB2312" w:hAnsi="仿宋_GB2312" w:eastAsia="仿宋_GB2312" w:cs="仿宋_GB2312"/>
          <w:sz w:val="28"/>
          <w:szCs w:val="28"/>
        </w:rPr>
        <w:t>市科技艺术教育中心</w:t>
      </w:r>
      <w:r>
        <w:rPr>
          <w:rFonts w:hint="eastAsia" w:ascii="仿宋_GB2312" w:hAnsi="仿宋_GB2312" w:eastAsia="仿宋_GB2312" w:cs="仿宋_GB2312"/>
          <w:sz w:val="28"/>
          <w:szCs w:val="28"/>
          <w:lang w:val="en-US" w:eastAsia="zh-CN"/>
        </w:rPr>
        <w:t>特举办“上海市学生健康素养提升案例征集活动”。</w:t>
      </w:r>
    </w:p>
    <w:p w14:paraId="2F3034A2">
      <w:pPr>
        <w:spacing w:line="560" w:lineRule="exact"/>
        <w:ind w:firstLine="560" w:firstLineChars="200"/>
        <w:rPr>
          <w:rFonts w:hint="eastAsia" w:ascii="仿宋_GB2312" w:hAnsi="仿宋_GB2312" w:eastAsia="黑体" w:cs="仿宋_GB2312"/>
          <w:sz w:val="28"/>
          <w:szCs w:val="28"/>
          <w:lang w:val="en-US" w:eastAsia="zh-CN"/>
        </w:rPr>
      </w:pPr>
      <w:r>
        <w:rPr>
          <w:rFonts w:hint="eastAsia" w:ascii="黑体" w:hAnsi="黑体" w:eastAsia="黑体" w:cs="黑体"/>
          <w:i w:val="0"/>
          <w:iCs w:val="0"/>
          <w:caps w:val="0"/>
          <w:spacing w:val="0"/>
          <w:sz w:val="28"/>
          <w:szCs w:val="28"/>
          <w:lang w:val="en-US" w:eastAsia="zh-CN"/>
        </w:rPr>
        <w:t>一、</w:t>
      </w:r>
      <w:r>
        <w:rPr>
          <w:rFonts w:hint="eastAsia" w:ascii="黑体" w:hAnsi="黑体" w:eastAsia="黑体" w:cs="黑体"/>
          <w:i w:val="0"/>
          <w:iCs w:val="0"/>
          <w:caps w:val="0"/>
          <w:spacing w:val="0"/>
          <w:sz w:val="28"/>
          <w:szCs w:val="28"/>
        </w:rPr>
        <w:t>活动</w:t>
      </w:r>
      <w:r>
        <w:rPr>
          <w:rFonts w:hint="eastAsia" w:ascii="黑体" w:hAnsi="黑体" w:eastAsia="黑体" w:cs="黑体"/>
          <w:i w:val="0"/>
          <w:iCs w:val="0"/>
          <w:caps w:val="0"/>
          <w:spacing w:val="0"/>
          <w:sz w:val="28"/>
          <w:szCs w:val="28"/>
          <w:lang w:val="en-US" w:eastAsia="zh-CN"/>
        </w:rPr>
        <w:t>宗旨</w:t>
      </w:r>
    </w:p>
    <w:p w14:paraId="42239775">
      <w:pPr>
        <w:spacing w:line="560" w:lineRule="exact"/>
        <w:ind w:firstLine="560" w:firstLineChars="200"/>
        <w:rPr>
          <w:rFonts w:hint="eastAsia" w:ascii="仿宋_GB2312" w:hAnsi="仿宋_GB2312" w:eastAsia="仿宋_GB2312" w:cs="仿宋_GB2312"/>
          <w:i w:val="0"/>
          <w:iCs w:val="0"/>
          <w:caps w:val="0"/>
          <w:spacing w:val="0"/>
          <w:sz w:val="28"/>
          <w:szCs w:val="28"/>
        </w:rPr>
      </w:pPr>
      <w:r>
        <w:rPr>
          <w:rFonts w:hint="eastAsia" w:ascii="仿宋_GB2312" w:hAnsi="仿宋_GB2312" w:eastAsia="仿宋_GB2312" w:cs="仿宋_GB2312"/>
          <w:sz w:val="28"/>
          <w:szCs w:val="28"/>
          <w:lang w:val="en-US" w:eastAsia="zh-CN"/>
        </w:rPr>
        <w:t>挖掘和推广我市学校在提升学生健康素养方面的优秀经验和创新实践，为广大学校提供可借鉴的范例和思路。通过征集活动，发现一批具有典型性、实效性和推广价值的案例，展示我市学校在学生健康素养提升工作中的智慧和成果，促进学校之间的交流与合作，推动我市学校卫生与健康教育工作。</w:t>
      </w:r>
    </w:p>
    <w:p w14:paraId="39D1E7BB">
      <w:pPr>
        <w:numPr>
          <w:ilvl w:val="-1"/>
          <w:numId w:val="0"/>
        </w:numPr>
        <w:spacing w:line="560" w:lineRule="exact"/>
        <w:ind w:left="559" w:leftChars="266" w:firstLine="0" w:firstLineChars="0"/>
        <w:jc w:val="left"/>
        <w:rPr>
          <w:rFonts w:hint="eastAsia" w:ascii="仿宋_GB2312" w:hAnsi="仿宋_GB2312" w:eastAsia="仿宋_GB2312" w:cs="仿宋_GB2312"/>
          <w:i w:val="0"/>
          <w:iCs w:val="0"/>
          <w:caps w:val="0"/>
          <w:spacing w:val="0"/>
          <w:sz w:val="28"/>
          <w:szCs w:val="28"/>
        </w:rPr>
      </w:pPr>
      <w:r>
        <w:rPr>
          <w:rFonts w:hint="eastAsia" w:ascii="黑体" w:hAnsi="黑体" w:eastAsia="黑体" w:cs="黑体"/>
          <w:i w:val="0"/>
          <w:iCs w:val="0"/>
          <w:caps w:val="0"/>
          <w:spacing w:val="0"/>
          <w:sz w:val="28"/>
          <w:szCs w:val="28"/>
          <w:lang w:val="en-US" w:eastAsia="zh-CN"/>
        </w:rPr>
        <w:t>二、</w:t>
      </w:r>
      <w:r>
        <w:rPr>
          <w:rFonts w:hint="eastAsia" w:ascii="黑体" w:hAnsi="黑体" w:eastAsia="黑体" w:cs="黑体"/>
          <w:i w:val="0"/>
          <w:iCs w:val="0"/>
          <w:caps w:val="0"/>
          <w:spacing w:val="0"/>
          <w:sz w:val="28"/>
          <w:szCs w:val="28"/>
        </w:rPr>
        <w:t>活动主题</w:t>
      </w:r>
      <w:r>
        <w:rPr>
          <w:rFonts w:hint="eastAsia" w:ascii="黑体" w:hAnsi="黑体" w:eastAsia="黑体" w:cs="黑体"/>
          <w:i w:val="0"/>
          <w:iCs w:val="0"/>
          <w:caps w:val="0"/>
          <w:spacing w:val="0"/>
          <w:sz w:val="28"/>
          <w:szCs w:val="28"/>
        </w:rPr>
        <w:br w:type="textWrapping"/>
      </w:r>
      <w:r>
        <w:rPr>
          <w:rFonts w:hint="eastAsia" w:ascii="仿宋_GB2312" w:hAnsi="仿宋_GB2312" w:eastAsia="仿宋_GB2312" w:cs="仿宋_GB2312"/>
          <w:i w:val="0"/>
          <w:iCs w:val="0"/>
          <w:caps w:val="0"/>
          <w:spacing w:val="0"/>
          <w:sz w:val="28"/>
          <w:szCs w:val="28"/>
        </w:rPr>
        <w:t>健康赋能未来</w:t>
      </w:r>
      <w:r>
        <w:rPr>
          <w:rFonts w:hint="eastAsia" w:ascii="仿宋_GB2312" w:hAnsi="仿宋_GB2312" w:eastAsia="仿宋_GB2312" w:cs="仿宋_GB2312"/>
          <w:i w:val="0"/>
          <w:iCs w:val="0"/>
          <w:caps w:val="0"/>
          <w:spacing w:val="0"/>
          <w:sz w:val="28"/>
          <w:szCs w:val="28"/>
          <w:lang w:val="en-US" w:eastAsia="zh-CN"/>
        </w:rPr>
        <w:t xml:space="preserve"> </w:t>
      </w:r>
      <w:r>
        <w:rPr>
          <w:rFonts w:hint="eastAsia" w:ascii="仿宋_GB2312" w:hAnsi="仿宋_GB2312" w:eastAsia="仿宋_GB2312" w:cs="仿宋_GB2312"/>
          <w:i w:val="0"/>
          <w:iCs w:val="0"/>
          <w:caps w:val="0"/>
          <w:spacing w:val="0"/>
          <w:sz w:val="28"/>
          <w:szCs w:val="28"/>
        </w:rPr>
        <w:t>创新引领成长</w:t>
      </w:r>
    </w:p>
    <w:p w14:paraId="63869248">
      <w:pPr>
        <w:spacing w:line="560" w:lineRule="exact"/>
        <w:ind w:firstLine="560" w:firstLineChars="20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三</w:t>
      </w:r>
      <w:r>
        <w:rPr>
          <w:rFonts w:hint="eastAsia" w:ascii="黑体" w:hAnsi="黑体" w:eastAsia="黑体" w:cs="黑体"/>
          <w:sz w:val="28"/>
          <w:szCs w:val="28"/>
        </w:rPr>
        <w:t>、</w:t>
      </w:r>
      <w:r>
        <w:rPr>
          <w:rFonts w:hint="eastAsia" w:ascii="黑体" w:hAnsi="黑体" w:eastAsia="黑体" w:cs="黑体"/>
          <w:sz w:val="28"/>
          <w:szCs w:val="28"/>
          <w:lang w:val="en-US" w:eastAsia="zh-CN"/>
        </w:rPr>
        <w:t>活动安排</w:t>
      </w:r>
    </w:p>
    <w:p w14:paraId="4BA84C01">
      <w:pPr>
        <w:spacing w:line="560" w:lineRule="exact"/>
        <w:ind w:firstLine="560" w:firstLineChars="200"/>
        <w:rPr>
          <w:rFonts w:hint="eastAsia" w:ascii="仿宋_GB2312" w:hAnsi="华文中宋" w:eastAsia="仿宋_GB2312" w:cs="黑体"/>
          <w:color w:val="auto"/>
          <w:kern w:val="0"/>
          <w:sz w:val="28"/>
          <w:szCs w:val="28"/>
        </w:rPr>
      </w:pPr>
      <w:r>
        <w:rPr>
          <w:rFonts w:hint="eastAsia" w:ascii="仿宋_GB2312" w:hAnsi="仿宋_GB2312" w:eastAsia="仿宋_GB2312" w:cs="仿宋_GB2312"/>
          <w:color w:val="auto"/>
          <w:sz w:val="28"/>
          <w:szCs w:val="28"/>
          <w:lang w:val="en-US" w:eastAsia="zh-CN"/>
        </w:rPr>
        <w:t>征集时间：</w:t>
      </w:r>
      <w:r>
        <w:rPr>
          <w:rFonts w:hint="eastAsia" w:ascii="仿宋_GB2312" w:hAnsi="仿宋_GB2312" w:eastAsia="仿宋_GB2312" w:cs="仿宋_GB2312"/>
          <w:color w:val="auto"/>
          <w:sz w:val="28"/>
          <w:szCs w:val="28"/>
        </w:rPr>
        <w:t>202</w:t>
      </w: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lang w:val="en-US" w:eastAsia="zh-CN"/>
        </w:rPr>
        <w:t>5</w:t>
      </w:r>
      <w:r>
        <w:rPr>
          <w:rFonts w:hint="eastAsia" w:ascii="仿宋_GB2312" w:hAnsi="华文中宋" w:eastAsia="仿宋_GB2312" w:cs="黑体"/>
          <w:color w:val="auto"/>
          <w:kern w:val="0"/>
          <w:sz w:val="28"/>
          <w:szCs w:val="28"/>
        </w:rPr>
        <w:t>月</w:t>
      </w:r>
      <w:r>
        <w:rPr>
          <w:rFonts w:hint="eastAsia" w:ascii="仿宋_GB2312" w:hAnsi="华文中宋" w:eastAsia="仿宋_GB2312" w:cs="黑体"/>
          <w:color w:val="auto"/>
          <w:kern w:val="0"/>
          <w:sz w:val="28"/>
          <w:szCs w:val="28"/>
          <w:lang w:val="en-US" w:eastAsia="zh-CN"/>
        </w:rPr>
        <w:t>8</w:t>
      </w:r>
      <w:r>
        <w:rPr>
          <w:rFonts w:hint="eastAsia" w:ascii="仿宋_GB2312" w:hAnsi="华文中宋" w:eastAsia="仿宋_GB2312" w:cs="黑体"/>
          <w:color w:val="auto"/>
          <w:kern w:val="0"/>
          <w:sz w:val="28"/>
          <w:szCs w:val="28"/>
        </w:rPr>
        <w:t>日—</w:t>
      </w:r>
      <w:r>
        <w:rPr>
          <w:rFonts w:hint="eastAsia" w:ascii="仿宋_GB2312" w:hAnsi="华文中宋" w:eastAsia="仿宋_GB2312" w:cs="黑体"/>
          <w:color w:val="auto"/>
          <w:kern w:val="0"/>
          <w:sz w:val="28"/>
          <w:szCs w:val="28"/>
          <w:lang w:val="en-US" w:eastAsia="zh-CN"/>
        </w:rPr>
        <w:t>6</w:t>
      </w:r>
      <w:r>
        <w:rPr>
          <w:rFonts w:hint="eastAsia" w:ascii="仿宋_GB2312" w:hAnsi="华文中宋" w:eastAsia="仿宋_GB2312" w:cs="黑体"/>
          <w:color w:val="auto"/>
          <w:kern w:val="0"/>
          <w:sz w:val="28"/>
          <w:szCs w:val="28"/>
        </w:rPr>
        <w:t>月</w:t>
      </w:r>
      <w:r>
        <w:rPr>
          <w:rFonts w:hint="eastAsia" w:ascii="仿宋_GB2312" w:hAnsi="华文中宋" w:eastAsia="仿宋_GB2312" w:cs="黑体"/>
          <w:color w:val="auto"/>
          <w:kern w:val="0"/>
          <w:sz w:val="28"/>
          <w:szCs w:val="28"/>
          <w:lang w:val="en-US" w:eastAsia="zh-CN"/>
        </w:rPr>
        <w:t>6</w:t>
      </w:r>
      <w:r>
        <w:rPr>
          <w:rFonts w:hint="eastAsia" w:ascii="仿宋_GB2312" w:hAnsi="华文中宋" w:eastAsia="仿宋_GB2312" w:cs="黑体"/>
          <w:color w:val="auto"/>
          <w:kern w:val="0"/>
          <w:sz w:val="28"/>
          <w:szCs w:val="28"/>
        </w:rPr>
        <w:t>日</w:t>
      </w:r>
    </w:p>
    <w:p w14:paraId="204732FA">
      <w:pPr>
        <w:spacing w:line="560" w:lineRule="exact"/>
        <w:ind w:firstLine="560" w:firstLineChars="200"/>
        <w:rPr>
          <w:rFonts w:hint="default" w:ascii="仿宋_GB2312" w:hAnsi="华文中宋" w:eastAsia="仿宋_GB2312" w:cs="黑体"/>
          <w:color w:val="auto"/>
          <w:kern w:val="0"/>
          <w:sz w:val="28"/>
          <w:szCs w:val="28"/>
          <w:lang w:val="en-US" w:eastAsia="zh-CN"/>
        </w:rPr>
      </w:pPr>
      <w:r>
        <w:rPr>
          <w:rFonts w:hint="eastAsia" w:ascii="仿宋_GB2312" w:hAnsi="华文中宋" w:eastAsia="仿宋_GB2312" w:cs="黑体"/>
          <w:color w:val="auto"/>
          <w:kern w:val="0"/>
          <w:sz w:val="28"/>
          <w:szCs w:val="28"/>
          <w:lang w:val="en-US" w:eastAsia="zh-CN"/>
        </w:rPr>
        <w:t>区级遴选：</w:t>
      </w:r>
      <w:r>
        <w:rPr>
          <w:rFonts w:hint="eastAsia" w:ascii="仿宋_GB2312" w:hAnsi="仿宋_GB2312" w:eastAsia="仿宋_GB2312" w:cs="仿宋_GB2312"/>
          <w:color w:val="auto"/>
          <w:sz w:val="28"/>
          <w:szCs w:val="28"/>
        </w:rPr>
        <w:t>202</w:t>
      </w: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lang w:val="en-US" w:eastAsia="zh-CN"/>
        </w:rPr>
        <w:t>6</w:t>
      </w:r>
      <w:r>
        <w:rPr>
          <w:rFonts w:hint="eastAsia" w:ascii="仿宋_GB2312" w:hAnsi="华文中宋" w:eastAsia="仿宋_GB2312" w:cs="黑体"/>
          <w:color w:val="auto"/>
          <w:kern w:val="0"/>
          <w:sz w:val="28"/>
          <w:szCs w:val="28"/>
        </w:rPr>
        <w:t>月</w:t>
      </w:r>
      <w:r>
        <w:rPr>
          <w:rFonts w:hint="eastAsia" w:ascii="仿宋_GB2312" w:hAnsi="华文中宋" w:eastAsia="仿宋_GB2312" w:cs="黑体"/>
          <w:color w:val="auto"/>
          <w:kern w:val="0"/>
          <w:sz w:val="28"/>
          <w:szCs w:val="28"/>
          <w:lang w:val="en-US" w:eastAsia="zh-CN"/>
        </w:rPr>
        <w:t>7</w:t>
      </w:r>
      <w:r>
        <w:rPr>
          <w:rFonts w:hint="eastAsia" w:ascii="仿宋_GB2312" w:hAnsi="华文中宋" w:eastAsia="仿宋_GB2312" w:cs="黑体"/>
          <w:color w:val="auto"/>
          <w:kern w:val="0"/>
          <w:sz w:val="28"/>
          <w:szCs w:val="28"/>
        </w:rPr>
        <w:t>日—</w:t>
      </w:r>
      <w:r>
        <w:rPr>
          <w:rFonts w:hint="eastAsia" w:ascii="仿宋_GB2312" w:hAnsi="华文中宋" w:eastAsia="仿宋_GB2312" w:cs="黑体"/>
          <w:color w:val="auto"/>
          <w:kern w:val="0"/>
          <w:sz w:val="28"/>
          <w:szCs w:val="28"/>
          <w:lang w:val="en-US" w:eastAsia="zh-CN"/>
        </w:rPr>
        <w:t>6</w:t>
      </w:r>
      <w:r>
        <w:rPr>
          <w:rFonts w:hint="eastAsia" w:ascii="仿宋_GB2312" w:hAnsi="华文中宋" w:eastAsia="仿宋_GB2312" w:cs="黑体"/>
          <w:color w:val="auto"/>
          <w:kern w:val="0"/>
          <w:sz w:val="28"/>
          <w:szCs w:val="28"/>
        </w:rPr>
        <w:t>月</w:t>
      </w:r>
      <w:r>
        <w:rPr>
          <w:rFonts w:hint="eastAsia" w:ascii="仿宋_GB2312" w:hAnsi="华文中宋" w:eastAsia="仿宋_GB2312" w:cs="黑体"/>
          <w:color w:val="auto"/>
          <w:kern w:val="0"/>
          <w:sz w:val="28"/>
          <w:szCs w:val="28"/>
          <w:lang w:val="en-US" w:eastAsia="zh-CN"/>
        </w:rPr>
        <w:t>13</w:t>
      </w:r>
      <w:r>
        <w:rPr>
          <w:rFonts w:hint="eastAsia" w:ascii="仿宋_GB2312" w:hAnsi="华文中宋" w:eastAsia="仿宋_GB2312" w:cs="黑体"/>
          <w:color w:val="auto"/>
          <w:kern w:val="0"/>
          <w:sz w:val="28"/>
          <w:szCs w:val="28"/>
        </w:rPr>
        <w:t>日</w:t>
      </w:r>
    </w:p>
    <w:p w14:paraId="333F4F6E">
      <w:pPr>
        <w:spacing w:line="560" w:lineRule="exact"/>
        <w:ind w:firstLine="560" w:firstLineChars="200"/>
        <w:rPr>
          <w:rFonts w:ascii="黑体" w:hAnsi="黑体" w:eastAsia="黑体" w:cs="黑体"/>
          <w:sz w:val="28"/>
          <w:szCs w:val="28"/>
        </w:rPr>
      </w:pPr>
      <w:r>
        <w:rPr>
          <w:rFonts w:hint="eastAsia" w:ascii="黑体" w:hAnsi="黑体" w:eastAsia="黑体" w:cs="黑体"/>
          <w:sz w:val="28"/>
          <w:szCs w:val="28"/>
          <w:lang w:val="en-US" w:eastAsia="zh-CN"/>
        </w:rPr>
        <w:t>四</w:t>
      </w:r>
      <w:r>
        <w:rPr>
          <w:rFonts w:hint="eastAsia" w:ascii="黑体" w:hAnsi="黑体" w:eastAsia="黑体" w:cs="黑体"/>
          <w:sz w:val="28"/>
          <w:szCs w:val="28"/>
        </w:rPr>
        <w:t>、征集范围</w:t>
      </w:r>
    </w:p>
    <w:p w14:paraId="29FBC8E0">
      <w:pPr>
        <w:spacing w:line="560" w:lineRule="exact"/>
        <w:ind w:firstLine="560" w:firstLineChars="200"/>
        <w:rPr>
          <w:rFonts w:hint="eastAsia" w:ascii="仿宋_GB2312" w:hAnsi="仿宋_GB2312" w:eastAsia="仿宋_GB2312" w:cs="仿宋_GB2312"/>
          <w:i w:val="0"/>
          <w:iCs w:val="0"/>
          <w:caps w:val="0"/>
          <w:spacing w:val="0"/>
          <w:kern w:val="2"/>
          <w:sz w:val="28"/>
          <w:szCs w:val="28"/>
        </w:rPr>
      </w:pPr>
      <w:r>
        <w:rPr>
          <w:rFonts w:hint="eastAsia" w:ascii="仿宋_GB2312" w:hAnsi="仿宋_GB2312" w:eastAsia="仿宋_GB2312" w:cs="仿宋_GB2312"/>
          <w:i w:val="0"/>
          <w:iCs w:val="0"/>
          <w:caps w:val="0"/>
          <w:spacing w:val="0"/>
          <w:sz w:val="28"/>
          <w:szCs w:val="28"/>
          <w:lang w:val="en-US" w:eastAsia="zh-CN"/>
        </w:rPr>
        <w:t>1.</w:t>
      </w:r>
      <w:r>
        <w:rPr>
          <w:rFonts w:hint="eastAsia" w:ascii="仿宋_GB2312" w:hAnsi="仿宋_GB2312" w:eastAsia="仿宋_GB2312" w:cs="仿宋_GB2312"/>
          <w:i w:val="0"/>
          <w:iCs w:val="0"/>
          <w:caps w:val="0"/>
          <w:spacing w:val="0"/>
          <w:sz w:val="28"/>
          <w:szCs w:val="28"/>
        </w:rPr>
        <w:t>对象：</w:t>
      </w:r>
      <w:r>
        <w:rPr>
          <w:rFonts w:hint="eastAsia" w:ascii="仿宋_GB2312" w:hAnsi="仿宋_GB2312" w:eastAsia="仿宋_GB2312" w:cs="仿宋_GB2312"/>
          <w:i w:val="0"/>
          <w:iCs w:val="0"/>
          <w:caps w:val="0"/>
          <w:spacing w:val="0"/>
          <w:sz w:val="28"/>
          <w:szCs w:val="28"/>
          <w:lang w:val="en-US" w:eastAsia="zh-CN"/>
        </w:rPr>
        <w:t>我</w:t>
      </w:r>
      <w:r>
        <w:rPr>
          <w:rFonts w:hint="eastAsia" w:ascii="仿宋_GB2312" w:hAnsi="仿宋_GB2312" w:eastAsia="仿宋_GB2312" w:cs="仿宋_GB2312"/>
          <w:i w:val="0"/>
          <w:iCs w:val="0"/>
          <w:caps w:val="0"/>
          <w:spacing w:val="0"/>
          <w:sz w:val="28"/>
          <w:szCs w:val="28"/>
          <w:lang w:eastAsia="zh-CN"/>
        </w:rPr>
        <w:t>市</w:t>
      </w:r>
      <w:r>
        <w:rPr>
          <w:rFonts w:hint="eastAsia" w:ascii="仿宋_GB2312" w:hAnsi="仿宋_GB2312" w:eastAsia="仿宋_GB2312" w:cs="仿宋_GB2312"/>
          <w:i w:val="0"/>
          <w:iCs w:val="0"/>
          <w:caps w:val="0"/>
          <w:spacing w:val="0"/>
          <w:sz w:val="28"/>
          <w:szCs w:val="28"/>
        </w:rPr>
        <w:t>中小学校（含中等职业学校）、托幼机构及区属教育系统单位。</w:t>
      </w:r>
    </w:p>
    <w:p w14:paraId="662FC168">
      <w:pPr>
        <w:spacing w:line="560" w:lineRule="exact"/>
        <w:ind w:firstLine="560" w:firstLineChars="200"/>
        <w:rPr>
          <w:rFonts w:hint="eastAsia" w:ascii="仿宋_GB2312" w:hAnsi="仿宋_GB2312" w:eastAsia="仿宋_GB2312" w:cs="仿宋_GB2312"/>
          <w:i w:val="0"/>
          <w:iCs w:val="0"/>
          <w:caps w:val="0"/>
          <w:spacing w:val="0"/>
          <w:kern w:val="2"/>
          <w:sz w:val="28"/>
          <w:szCs w:val="28"/>
          <w:lang w:val="en-US" w:eastAsia="zh-CN"/>
        </w:rPr>
      </w:pPr>
      <w:r>
        <w:rPr>
          <w:rFonts w:hint="eastAsia" w:ascii="仿宋_GB2312" w:hAnsi="仿宋_GB2312" w:eastAsia="仿宋_GB2312" w:cs="仿宋_GB2312"/>
          <w:i w:val="0"/>
          <w:iCs w:val="0"/>
          <w:caps w:val="0"/>
          <w:spacing w:val="0"/>
          <w:kern w:val="2"/>
          <w:sz w:val="28"/>
          <w:szCs w:val="28"/>
          <w:lang w:val="en-US" w:eastAsia="zh-CN"/>
        </w:rPr>
        <w:t>2.内容：聚焦于近三年学校以提升学生健康素养为核心所实施的创新举措及实践成果，尤其侧重在学校健康教育领域产生积极影响的，</w:t>
      </w:r>
      <w:r>
        <w:rPr>
          <w:rFonts w:hint="eastAsia" w:ascii="仿宋_GB2312" w:hAnsi="仿宋_GB2312" w:eastAsia="仿宋_GB2312" w:cs="仿宋_GB2312"/>
          <w:i w:val="0"/>
          <w:iCs w:val="0"/>
          <w:caps w:val="0"/>
          <w:spacing w:val="0"/>
          <w:sz w:val="28"/>
          <w:szCs w:val="28"/>
        </w:rPr>
        <w:t>托幼机构</w:t>
      </w:r>
      <w:r>
        <w:rPr>
          <w:rFonts w:hint="eastAsia" w:ascii="仿宋_GB2312" w:hAnsi="仿宋_GB2312" w:eastAsia="仿宋_GB2312" w:cs="仿宋_GB2312"/>
          <w:i w:val="0"/>
          <w:iCs w:val="0"/>
          <w:caps w:val="0"/>
          <w:spacing w:val="0"/>
          <w:kern w:val="2"/>
          <w:sz w:val="28"/>
          <w:szCs w:val="28"/>
          <w:lang w:val="en-US" w:eastAsia="zh-CN"/>
        </w:rPr>
        <w:t>能体现保教结合成效，将健康指导与生活护理有机融合的教育项目或活动案例。案例应充分展现创新性，通过新颖的理念、独特的方式方法呈现。同时，能在学校健康教育体系中发挥示范引领作用，托幼机构能体现“儿童发展优先”理念，为促进学生健康素养提升提供有力支撑。</w:t>
      </w:r>
    </w:p>
    <w:p w14:paraId="26025691">
      <w:pPr>
        <w:spacing w:line="560" w:lineRule="exact"/>
        <w:ind w:firstLine="560" w:firstLineChars="200"/>
        <w:rPr>
          <w:rFonts w:ascii="黑体" w:hAnsi="黑体" w:eastAsia="黑体" w:cs="黑体"/>
          <w:sz w:val="28"/>
          <w:szCs w:val="28"/>
        </w:rPr>
      </w:pPr>
      <w:r>
        <w:rPr>
          <w:rFonts w:hint="eastAsia" w:ascii="黑体" w:hAnsi="黑体" w:eastAsia="黑体" w:cs="黑体"/>
          <w:sz w:val="28"/>
          <w:szCs w:val="28"/>
          <w:lang w:val="en-US" w:eastAsia="zh-CN"/>
        </w:rPr>
        <w:t>五</w:t>
      </w:r>
      <w:r>
        <w:rPr>
          <w:rFonts w:hint="eastAsia" w:ascii="黑体" w:hAnsi="黑体" w:eastAsia="黑体" w:cs="黑体"/>
          <w:sz w:val="28"/>
          <w:szCs w:val="28"/>
        </w:rPr>
        <w:t>、</w:t>
      </w:r>
      <w:r>
        <w:rPr>
          <w:rFonts w:hint="eastAsia" w:ascii="黑体" w:hAnsi="黑体" w:eastAsia="黑体" w:cs="黑体"/>
          <w:sz w:val="28"/>
          <w:szCs w:val="28"/>
          <w:lang w:val="en-US" w:eastAsia="zh-CN"/>
        </w:rPr>
        <w:t>申报要求</w:t>
      </w:r>
    </w:p>
    <w:p w14:paraId="09F17B65">
      <w:pPr>
        <w:keepNext w:val="0"/>
        <w:keepLines w:val="0"/>
        <w:pageBreakBefore w:val="0"/>
        <w:widowControl/>
        <w:numPr>
          <w:ilvl w:val="-1"/>
          <w:numId w:val="0"/>
        </w:numPr>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kern w:val="2"/>
          <w:sz w:val="28"/>
          <w:szCs w:val="28"/>
          <w:lang w:eastAsia="zh-CN" w:bidi="ar-SA"/>
        </w:rPr>
      </w:pPr>
      <w:r>
        <w:rPr>
          <w:rFonts w:hint="default" w:ascii="仿宋_GB2312" w:hAnsi="仿宋_GB2312" w:eastAsia="仿宋_GB2312" w:cs="仿宋_GB2312"/>
          <w:kern w:val="2"/>
          <w:sz w:val="28"/>
          <w:szCs w:val="28"/>
          <w:lang w:bidi="ar-SA"/>
        </w:rPr>
        <w:t>1.案例确保学生参与度高，内容真实，数据准确，文字表达流畅。同时，要深入挖掘学校在健康教育工作方面的经验、特</w:t>
      </w:r>
      <w:r>
        <w:rPr>
          <w:rFonts w:hint="eastAsia" w:ascii="仿宋_GB2312" w:hAnsi="仿宋_GB2312" w:eastAsia="仿宋_GB2312" w:cs="仿宋_GB2312"/>
          <w:kern w:val="2"/>
          <w:sz w:val="28"/>
          <w:szCs w:val="28"/>
          <w:lang w:val="en-US" w:eastAsia="zh-CN" w:bidi="ar-SA"/>
        </w:rPr>
        <w:t>色</w:t>
      </w:r>
      <w:r>
        <w:rPr>
          <w:rFonts w:hint="default" w:ascii="仿宋_GB2312" w:hAnsi="仿宋_GB2312" w:eastAsia="仿宋_GB2312" w:cs="仿宋_GB2312"/>
          <w:kern w:val="2"/>
          <w:sz w:val="28"/>
          <w:szCs w:val="28"/>
          <w:lang w:bidi="ar-SA"/>
        </w:rPr>
        <w:t>和亮点，充分展现工作成效及实践探索的成果。撰写案例时，应遵循“一事一例”的原则进行申报，避免采用工作总结的</w:t>
      </w:r>
      <w:r>
        <w:rPr>
          <w:rFonts w:hint="eastAsia" w:ascii="仿宋_GB2312" w:hAnsi="仿宋_GB2312" w:eastAsia="仿宋_GB2312" w:cs="仿宋_GB2312"/>
          <w:kern w:val="2"/>
          <w:sz w:val="28"/>
          <w:szCs w:val="28"/>
          <w:lang w:val="en-US" w:eastAsia="zh-CN" w:bidi="ar-SA"/>
        </w:rPr>
        <w:t>体例</w:t>
      </w:r>
      <w:r>
        <w:rPr>
          <w:rFonts w:hint="default" w:ascii="仿宋_GB2312" w:hAnsi="仿宋_GB2312" w:eastAsia="仿宋_GB2312" w:cs="仿宋_GB2312"/>
          <w:kern w:val="2"/>
          <w:sz w:val="28"/>
          <w:szCs w:val="28"/>
          <w:lang w:bidi="ar-SA"/>
        </w:rPr>
        <w:t>。</w:t>
      </w:r>
    </w:p>
    <w:p w14:paraId="626C99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2.案例参与人原则上不超过7人，对于已获得区级奖项的案例，应在申报表中注明；已获得过市级及以上级别奖项的案例，如在内容基本相同或没有特别创新的情况下不得重复申报。</w:t>
      </w:r>
    </w:p>
    <w:p w14:paraId="10C70F9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3.申报单位须确保案例材料所涉及的他人肖像、照片、图片、文字等内容真实、合法。同时，主办单位拥有所有申报案例发布、展览、编辑、出版等权利，并用于校园健康公益宣传活动。</w:t>
      </w:r>
    </w:p>
    <w:p w14:paraId="490AE83C">
      <w:pPr>
        <w:spacing w:line="56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六、评审标准</w:t>
      </w:r>
    </w:p>
    <w:p w14:paraId="3A98571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kern w:val="2"/>
          <w:sz w:val="28"/>
          <w:szCs w:val="28"/>
          <w:lang w:val="en-US" w:eastAsia="zh-CN"/>
        </w:rPr>
      </w:pPr>
      <w:r>
        <w:rPr>
          <w:rFonts w:hint="eastAsia" w:ascii="仿宋_GB2312" w:hAnsi="仿宋_GB2312" w:eastAsia="仿宋_GB2312" w:cs="仿宋_GB2312"/>
          <w:kern w:val="2"/>
          <w:sz w:val="28"/>
          <w:szCs w:val="28"/>
          <w:lang w:val="en-US" w:eastAsia="zh-CN"/>
        </w:rPr>
        <w:t xml:space="preserve">1.实效性：选送案例要紧密贴合工作实际，坚持实事求是，突出工作成效，符合各年龄段发展水平，对学校卫生与健康教育工作有借鉴意义和应用价值。 </w:t>
      </w:r>
      <w:r>
        <w:rPr>
          <w:rFonts w:hint="eastAsia" w:ascii="仿宋_GB2312" w:hAnsi="仿宋_GB2312" w:eastAsia="仿宋_GB2312" w:cs="仿宋_GB2312"/>
          <w:kern w:val="2"/>
          <w:sz w:val="28"/>
          <w:szCs w:val="28"/>
          <w:lang w:val="en-US" w:eastAsia="zh-CN"/>
        </w:rPr>
        <w:tab/>
      </w:r>
    </w:p>
    <w:p w14:paraId="36FAA8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kern w:val="2"/>
          <w:sz w:val="28"/>
          <w:szCs w:val="28"/>
          <w:lang w:val="en-US" w:eastAsia="zh-CN"/>
        </w:rPr>
      </w:pPr>
      <w:r>
        <w:rPr>
          <w:rFonts w:hint="eastAsia" w:ascii="仿宋_GB2312" w:hAnsi="仿宋_GB2312" w:eastAsia="仿宋_GB2312" w:cs="仿宋_GB2312"/>
          <w:kern w:val="2"/>
          <w:sz w:val="28"/>
          <w:szCs w:val="28"/>
          <w:lang w:val="en-US" w:eastAsia="zh-CN"/>
        </w:rPr>
        <w:t>2.特色性：选送案例要重点突出，特色鲜明，具有一定的代表性、典型性，避免千篇一律、面面俱到、泛泛而谈。</w:t>
      </w:r>
    </w:p>
    <w:p w14:paraId="4C162F6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kern w:val="2"/>
          <w:sz w:val="28"/>
          <w:szCs w:val="28"/>
          <w:lang w:val="en-US" w:eastAsia="zh-CN"/>
        </w:rPr>
      </w:pPr>
      <w:r>
        <w:rPr>
          <w:rFonts w:hint="eastAsia" w:ascii="仿宋_GB2312" w:hAnsi="仿宋_GB2312" w:eastAsia="仿宋_GB2312" w:cs="仿宋_GB2312"/>
          <w:kern w:val="2"/>
          <w:sz w:val="28"/>
          <w:szCs w:val="28"/>
          <w:lang w:val="en-US" w:eastAsia="zh-CN"/>
        </w:rPr>
        <w:t xml:space="preserve">3.创新性：案例在提供创新思路和实践方法，能够为其他学校提供新的思路和启发。 </w:t>
      </w:r>
    </w:p>
    <w:p w14:paraId="2B5E0AF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kern w:val="2"/>
          <w:sz w:val="28"/>
          <w:szCs w:val="28"/>
          <w:lang w:val="en-US" w:eastAsia="zh-CN"/>
        </w:rPr>
      </w:pPr>
      <w:r>
        <w:rPr>
          <w:rFonts w:hint="eastAsia" w:ascii="仿宋_GB2312" w:hAnsi="仿宋_GB2312" w:eastAsia="仿宋_GB2312" w:cs="仿宋_GB2312"/>
          <w:kern w:val="2"/>
          <w:sz w:val="28"/>
          <w:szCs w:val="28"/>
          <w:lang w:val="en-US" w:eastAsia="zh-CN"/>
        </w:rPr>
        <w:t>4.可持续性：案例具备可持续性、推广普遍性，确保其能在学校中长期推广和执行。</w:t>
      </w:r>
      <w:r>
        <w:rPr>
          <w:rFonts w:hint="eastAsia" w:ascii="仿宋_GB2312" w:hAnsi="仿宋_GB2312" w:eastAsia="仿宋_GB2312" w:cs="仿宋_GB2312"/>
          <w:kern w:val="2"/>
          <w:sz w:val="28"/>
          <w:szCs w:val="28"/>
          <w:lang w:val="en-US" w:eastAsia="zh-CN"/>
        </w:rPr>
        <w:tab/>
      </w:r>
    </w:p>
    <w:p w14:paraId="02F0C26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kern w:val="2"/>
          <w:sz w:val="28"/>
          <w:szCs w:val="28"/>
          <w:lang w:val="en-US" w:eastAsia="zh-CN"/>
        </w:rPr>
        <w:t>5.社会影响：案例应具有一定的社会影响力，</w:t>
      </w:r>
      <w:r>
        <w:rPr>
          <w:rFonts w:hint="eastAsia" w:ascii="仿宋_GB2312" w:hAnsi="仿宋_GB2312" w:eastAsia="仿宋_GB2312" w:cs="仿宋_GB2312"/>
          <w:i w:val="0"/>
          <w:iCs w:val="0"/>
          <w:caps w:val="0"/>
          <w:spacing w:val="0"/>
          <w:kern w:val="2"/>
          <w:sz w:val="28"/>
          <w:szCs w:val="28"/>
          <w:lang w:val="en-US" w:eastAsia="zh-CN"/>
        </w:rPr>
        <w:t>能关注当下社会热点（如“小眼镜”“小胖墩”），</w:t>
      </w:r>
      <w:r>
        <w:rPr>
          <w:rFonts w:hint="eastAsia" w:ascii="仿宋_GB2312" w:hAnsi="仿宋_GB2312" w:eastAsia="仿宋_GB2312" w:cs="仿宋_GB2312"/>
          <w:kern w:val="2"/>
          <w:sz w:val="28"/>
          <w:szCs w:val="28"/>
          <w:lang w:val="en-US" w:eastAsia="zh-CN"/>
        </w:rPr>
        <w:t>能够引起其他学校、家长和社会各界的关注和参与。</w:t>
      </w:r>
      <w:r>
        <w:rPr>
          <w:rFonts w:hint="eastAsia" w:ascii="仿宋_GB2312" w:hAnsi="仿宋_GB2312" w:eastAsia="仿宋_GB2312" w:cs="仿宋_GB2312"/>
          <w:kern w:val="2"/>
          <w:sz w:val="28"/>
          <w:szCs w:val="28"/>
          <w:lang w:val="en-US" w:eastAsia="zh-CN"/>
        </w:rPr>
        <w:tab/>
      </w:r>
    </w:p>
    <w:p w14:paraId="4AC2DB7B">
      <w:pPr>
        <w:spacing w:line="560" w:lineRule="exact"/>
        <w:ind w:firstLine="560" w:firstLineChars="200"/>
        <w:rPr>
          <w:rFonts w:hint="eastAsia" w:ascii="黑体" w:hAnsi="黑体" w:eastAsia="黑体" w:cs="黑体"/>
          <w:sz w:val="28"/>
          <w:szCs w:val="28"/>
          <w:lang w:eastAsia="zh-CN"/>
        </w:rPr>
      </w:pPr>
      <w:r>
        <w:rPr>
          <w:rFonts w:hint="eastAsia" w:ascii="黑体" w:hAnsi="黑体" w:eastAsia="黑体" w:cs="黑体"/>
          <w:sz w:val="28"/>
          <w:szCs w:val="28"/>
          <w:lang w:val="en-US" w:eastAsia="zh-CN"/>
        </w:rPr>
        <w:t>七</w:t>
      </w:r>
      <w:r>
        <w:rPr>
          <w:rFonts w:hint="eastAsia" w:ascii="黑体" w:hAnsi="黑体" w:eastAsia="黑体" w:cs="黑体"/>
          <w:sz w:val="28"/>
          <w:szCs w:val="28"/>
        </w:rPr>
        <w:t>、</w:t>
      </w:r>
      <w:r>
        <w:rPr>
          <w:rFonts w:hint="eastAsia" w:ascii="黑体" w:hAnsi="黑体" w:eastAsia="黑体" w:cs="黑体"/>
          <w:sz w:val="28"/>
          <w:szCs w:val="28"/>
          <w:lang w:val="en-US" w:eastAsia="zh-CN"/>
        </w:rPr>
        <w:t>申报流程</w:t>
      </w:r>
    </w:p>
    <w:p w14:paraId="50EBFCA8">
      <w:pPr>
        <w:numPr>
          <w:ilvl w:val="0"/>
          <w:numId w:val="0"/>
        </w:numPr>
        <w:spacing w:line="560" w:lineRule="exact"/>
        <w:ind w:firstLine="560" w:firstLineChars="200"/>
        <w:rPr>
          <w:rFonts w:hint="eastAsia" w:ascii="仿宋_GB2312" w:hAnsi="仿宋_GB2312" w:eastAsia="仿宋_GB2312" w:cs="仿宋_GB2312"/>
          <w:b/>
          <w:bCs/>
          <w:i w:val="0"/>
          <w:iCs w:val="0"/>
          <w:caps w:val="0"/>
          <w:color w:val="auto"/>
          <w:spacing w:val="0"/>
          <w:sz w:val="28"/>
          <w:szCs w:val="28"/>
        </w:rPr>
      </w:pPr>
      <w:r>
        <w:rPr>
          <w:rFonts w:hint="eastAsia" w:ascii="楷体" w:hAnsi="楷体" w:eastAsia="楷体" w:cs="楷体"/>
          <w:b w:val="0"/>
          <w:bCs w:val="0"/>
          <w:color w:val="auto"/>
          <w:sz w:val="28"/>
          <w:szCs w:val="28"/>
          <w:lang w:val="en-US" w:eastAsia="zh-CN"/>
        </w:rPr>
        <w:t>（一）</w:t>
      </w:r>
      <w:r>
        <w:rPr>
          <w:rFonts w:hint="eastAsia" w:ascii="楷体" w:hAnsi="楷体" w:eastAsia="楷体" w:cs="楷体"/>
          <w:b w:val="0"/>
          <w:bCs w:val="0"/>
          <w:i w:val="0"/>
          <w:iCs w:val="0"/>
          <w:caps w:val="0"/>
          <w:color w:val="auto"/>
          <w:spacing w:val="0"/>
          <w:sz w:val="28"/>
          <w:szCs w:val="28"/>
          <w:lang w:val="en-US" w:eastAsia="zh-CN"/>
        </w:rPr>
        <w:t>学校推荐</w:t>
      </w:r>
    </w:p>
    <w:p w14:paraId="5DC7FAD0">
      <w:pPr>
        <w:widowControl w:val="0"/>
        <w:numPr>
          <w:ilvl w:val="0"/>
          <w:numId w:val="0"/>
        </w:numPr>
        <w:spacing w:line="560" w:lineRule="exact"/>
        <w:ind w:left="0" w:firstLine="560" w:firstLineChars="200"/>
        <w:rPr>
          <w:rFonts w:hint="eastAsia" w:ascii="仿宋_GB2312" w:hAnsi="仿宋_GB2312" w:eastAsia="仿宋_GB2312" w:cs="仿宋_GB2312"/>
          <w:i w:val="0"/>
          <w:iCs w:val="0"/>
          <w:caps w:val="0"/>
          <w:color w:val="auto"/>
          <w:spacing w:val="0"/>
          <w:sz w:val="28"/>
          <w:szCs w:val="28"/>
        </w:rPr>
      </w:pPr>
      <w:r>
        <w:rPr>
          <w:rFonts w:hint="eastAsia" w:ascii="仿宋_GB2312" w:hAnsi="仿宋_GB2312" w:eastAsia="仿宋_GB2312" w:cs="仿宋_GB2312"/>
          <w:sz w:val="28"/>
          <w:szCs w:val="28"/>
        </w:rPr>
        <w:t>学校需先</w:t>
      </w:r>
      <w:r>
        <w:rPr>
          <w:rFonts w:hint="eastAsia" w:ascii="仿宋_GB2312" w:hAnsi="仿宋_GB2312" w:eastAsia="仿宋_GB2312" w:cs="仿宋_GB2312"/>
          <w:sz w:val="28"/>
          <w:szCs w:val="28"/>
          <w:lang w:val="en-US" w:eastAsia="zh-CN"/>
        </w:rPr>
        <w:t>对本校申报案例</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lang w:val="en-US" w:eastAsia="zh-CN"/>
        </w:rPr>
        <w:t>评审筛选</w:t>
      </w:r>
      <w:r>
        <w:rPr>
          <w:rFonts w:hint="eastAsia" w:ascii="仿宋_GB2312" w:hAnsi="仿宋_GB2312" w:eastAsia="仿宋_GB2312" w:cs="仿宋_GB2312"/>
          <w:sz w:val="28"/>
          <w:szCs w:val="28"/>
        </w:rPr>
        <w:t>，并推荐</w:t>
      </w:r>
      <w:r>
        <w:rPr>
          <w:rFonts w:hint="eastAsia" w:ascii="仿宋_GB2312" w:hAnsi="仿宋_GB2312" w:eastAsia="仿宋_GB2312" w:cs="仿宋_GB2312"/>
          <w:sz w:val="28"/>
          <w:szCs w:val="28"/>
          <w:lang w:val="en-US" w:eastAsia="zh-CN"/>
        </w:rPr>
        <w:t>选送</w:t>
      </w:r>
      <w:r>
        <w:rPr>
          <w:rFonts w:hint="eastAsia" w:ascii="仿宋_GB2312" w:hAnsi="仿宋_GB2312" w:eastAsia="仿宋_GB2312" w:cs="仿宋_GB2312"/>
          <w:sz w:val="28"/>
          <w:szCs w:val="28"/>
        </w:rPr>
        <w:t>1个优秀案例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i w:val="0"/>
          <w:iCs w:val="0"/>
          <w:caps w:val="0"/>
          <w:color w:val="auto"/>
          <w:spacing w:val="0"/>
          <w:sz w:val="28"/>
          <w:szCs w:val="28"/>
          <w:lang w:val="en-US" w:eastAsia="zh-CN"/>
        </w:rPr>
        <w:t>具体提交要求</w:t>
      </w:r>
      <w:r>
        <w:rPr>
          <w:rFonts w:hint="eastAsia" w:ascii="仿宋_GB2312" w:hAnsi="仿宋_GB2312" w:eastAsia="仿宋_GB2312" w:cs="仿宋_GB2312"/>
          <w:i w:val="0"/>
          <w:iCs w:val="0"/>
          <w:caps w:val="0"/>
          <w:color w:val="auto"/>
          <w:spacing w:val="0"/>
          <w:sz w:val="28"/>
          <w:szCs w:val="28"/>
        </w:rPr>
        <w:t>包括：</w:t>
      </w:r>
    </w:p>
    <w:p w14:paraId="4F7C18F0">
      <w:pPr>
        <w:numPr>
          <w:ilvl w:val="0"/>
          <w:numId w:val="0"/>
        </w:numPr>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《上海市学生</w:t>
      </w:r>
      <w:r>
        <w:rPr>
          <w:rFonts w:hint="eastAsia" w:ascii="仿宋_GB2312" w:hAnsi="仿宋_GB2312" w:eastAsia="仿宋_GB2312" w:cs="仿宋_GB2312"/>
          <w:sz w:val="28"/>
          <w:szCs w:val="28"/>
          <w:lang w:eastAsia="zh-CN"/>
        </w:rPr>
        <w:t>健康素养</w:t>
      </w:r>
      <w:r>
        <w:rPr>
          <w:rFonts w:hint="eastAsia" w:ascii="仿宋_GB2312" w:hAnsi="仿宋_GB2312" w:eastAsia="仿宋_GB2312" w:cs="仿宋_GB2312"/>
          <w:sz w:val="28"/>
          <w:szCs w:val="28"/>
        </w:rPr>
        <w:t>提升案例征集活动申报表》</w:t>
      </w:r>
    </w:p>
    <w:p w14:paraId="1E309C0B">
      <w:pPr>
        <w:numPr>
          <w:ilvl w:val="0"/>
          <w:numId w:val="0"/>
        </w:numPr>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申报表须</w:t>
      </w:r>
      <w:r>
        <w:rPr>
          <w:rFonts w:hint="eastAsia" w:ascii="仿宋_GB2312" w:hAnsi="仿宋_GB2312" w:eastAsia="仿宋_GB2312" w:cs="仿宋_GB2312"/>
          <w:sz w:val="28"/>
          <w:szCs w:val="28"/>
        </w:rPr>
        <w:t>学校盖章，</w:t>
      </w:r>
      <w:r>
        <w:rPr>
          <w:rFonts w:hint="eastAsia" w:ascii="仿宋_GB2312" w:hAnsi="仿宋_GB2312" w:eastAsia="仿宋_GB2312" w:cs="仿宋_GB2312"/>
          <w:sz w:val="28"/>
          <w:szCs w:val="28"/>
          <w:lang w:val="en-US" w:eastAsia="zh-CN"/>
        </w:rPr>
        <w:t>并</w:t>
      </w:r>
      <w:r>
        <w:rPr>
          <w:rFonts w:hint="eastAsia" w:ascii="仿宋_GB2312" w:hAnsi="仿宋_GB2312" w:eastAsia="仿宋_GB2312" w:cs="仿宋_GB2312"/>
          <w:sz w:val="28"/>
          <w:szCs w:val="28"/>
        </w:rPr>
        <w:t>扫描为PDF格式</w:t>
      </w:r>
      <w:r>
        <w:rPr>
          <w:rFonts w:hint="eastAsia" w:ascii="仿宋_GB2312" w:hAnsi="仿宋_GB2312" w:eastAsia="仿宋_GB2312" w:cs="仿宋_GB2312"/>
          <w:sz w:val="28"/>
          <w:szCs w:val="28"/>
          <w:lang w:eastAsia="zh-CN"/>
        </w:rPr>
        <w:t>，</w:t>
      </w:r>
      <w:r>
        <w:rPr>
          <w:rFonts w:hint="default" w:ascii="仿宋_GB2312" w:hAnsi="仿宋_GB2312" w:eastAsia="仿宋_GB2312" w:cs="仿宋_GB2312"/>
          <w:i w:val="0"/>
          <w:iCs w:val="0"/>
          <w:caps w:val="0"/>
          <w:color w:val="auto"/>
          <w:spacing w:val="0"/>
          <w:sz w:val="28"/>
          <w:szCs w:val="28"/>
          <w:lang w:eastAsia="zh-CN"/>
        </w:rPr>
        <w:t>与Word文档一并提交</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递交材料统一命名为：</w:t>
      </w:r>
      <w:r>
        <w:rPr>
          <w:rFonts w:hint="eastAsia" w:ascii="仿宋_GB2312" w:hAnsi="仿宋_GB2312" w:eastAsia="仿宋_GB2312" w:cs="仿宋_GB2312"/>
          <w:sz w:val="28"/>
          <w:szCs w:val="28"/>
        </w:rPr>
        <w:t>**区</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**学校全称</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lang w:eastAsia="zh-CN"/>
        </w:rPr>
        <w:t>健康素养</w:t>
      </w:r>
      <w:r>
        <w:rPr>
          <w:rFonts w:hint="eastAsia" w:ascii="仿宋_GB2312" w:hAnsi="仿宋_GB2312" w:eastAsia="仿宋_GB2312" w:cs="仿宋_GB2312"/>
          <w:sz w:val="28"/>
          <w:szCs w:val="28"/>
        </w:rPr>
        <w:t>提升案例申报表</w:t>
      </w:r>
      <w:r>
        <w:rPr>
          <w:rFonts w:hint="eastAsia" w:ascii="仿宋_GB2312" w:hAnsi="仿宋_GB2312" w:eastAsia="仿宋_GB2312" w:cs="仿宋_GB2312"/>
          <w:sz w:val="28"/>
          <w:szCs w:val="28"/>
          <w:lang w:eastAsia="zh-CN"/>
        </w:rPr>
        <w:t>。</w:t>
      </w:r>
    </w:p>
    <w:p w14:paraId="5A444BB1">
      <w:pPr>
        <w:numPr>
          <w:ilvl w:val="0"/>
          <w:numId w:val="0"/>
        </w:numPr>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案例介绍</w:t>
      </w:r>
    </w:p>
    <w:p w14:paraId="57DC932B">
      <w:pPr>
        <w:numPr>
          <w:ilvl w:val="0"/>
          <w:numId w:val="0"/>
        </w:numPr>
        <w:spacing w:line="560" w:lineRule="exact"/>
        <w:ind w:firstLine="560" w:firstLineChars="20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案例介绍统一格式，内容结构包括“案例名称、案例背景、主要做法、案例效果、典型意义”五个部分，字数</w:t>
      </w:r>
      <w:r>
        <w:rPr>
          <w:rFonts w:hint="eastAsia" w:ascii="仿宋_GB2312" w:hAnsi="仿宋_GB2312" w:eastAsia="仿宋_GB2312" w:cs="仿宋_GB2312"/>
          <w:sz w:val="28"/>
          <w:szCs w:val="28"/>
        </w:rPr>
        <w:t>在</w:t>
      </w:r>
      <w:r>
        <w:rPr>
          <w:rFonts w:hint="eastAsia" w:ascii="仿宋_GB2312" w:hAnsi="仿宋_GB2312" w:eastAsia="仿宋_GB2312" w:cs="仿宋_GB2312"/>
          <w:sz w:val="28"/>
          <w:szCs w:val="28"/>
          <w:lang w:val="en-US" w:eastAsia="zh-CN"/>
        </w:rPr>
        <w:t>2500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400</w:t>
      </w:r>
      <w:r>
        <w:rPr>
          <w:rFonts w:hint="eastAsia" w:ascii="仿宋_GB2312" w:hAnsi="仿宋_GB2312" w:eastAsia="仿宋_GB2312" w:cs="仿宋_GB2312"/>
          <w:sz w:val="28"/>
          <w:szCs w:val="28"/>
        </w:rPr>
        <w:t>0字以内</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递交材料统一命名为：</w:t>
      </w:r>
      <w:r>
        <w:rPr>
          <w:rFonts w:hint="eastAsia" w:ascii="仿宋_GB2312" w:hAnsi="仿宋_GB2312" w:eastAsia="仿宋_GB2312" w:cs="仿宋_GB2312"/>
          <w:sz w:val="28"/>
          <w:szCs w:val="28"/>
        </w:rPr>
        <w:t>**区</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**学校全称</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lang w:eastAsia="zh-CN"/>
        </w:rPr>
        <w:t>健康素养</w:t>
      </w:r>
      <w:r>
        <w:rPr>
          <w:rFonts w:hint="eastAsia" w:ascii="仿宋_GB2312" w:hAnsi="仿宋_GB2312" w:eastAsia="仿宋_GB2312" w:cs="仿宋_GB2312"/>
          <w:sz w:val="28"/>
          <w:szCs w:val="28"/>
        </w:rPr>
        <w:t>提升案例</w:t>
      </w:r>
      <w:r>
        <w:rPr>
          <w:rFonts w:hint="eastAsia" w:ascii="仿宋_GB2312" w:hAnsi="仿宋_GB2312" w:eastAsia="仿宋_GB2312" w:cs="仿宋_GB2312"/>
          <w:sz w:val="28"/>
          <w:szCs w:val="28"/>
          <w:lang w:val="en-US" w:eastAsia="zh-CN"/>
        </w:rPr>
        <w:t>介绍</w:t>
      </w:r>
      <w:r>
        <w:rPr>
          <w:rFonts w:hint="eastAsia" w:ascii="仿宋_GB2312" w:hAnsi="仿宋_GB2312" w:eastAsia="仿宋_GB2312" w:cs="仿宋_GB2312"/>
          <w:sz w:val="28"/>
          <w:szCs w:val="28"/>
          <w:lang w:eastAsia="zh-CN"/>
        </w:rPr>
        <w:t>。</w:t>
      </w:r>
    </w:p>
    <w:p w14:paraId="3EE1A438">
      <w:pPr>
        <w:numPr>
          <w:ilvl w:val="0"/>
          <w:numId w:val="0"/>
        </w:numPr>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3.佐证材料</w:t>
      </w:r>
    </w:p>
    <w:p w14:paraId="63653A64">
      <w:pPr>
        <w:numPr>
          <w:ilvl w:val="0"/>
          <w:numId w:val="0"/>
        </w:numPr>
        <w:spacing w:line="560" w:lineRule="exact"/>
        <w:ind w:firstLine="560" w:firstLineChars="200"/>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材料包括：（1）照片：精选5</w:t>
      </w:r>
      <w:r>
        <w:rPr>
          <w:rFonts w:hint="eastAsia" w:ascii="仿宋_GB2312" w:hAnsi="仿宋_GB2312" w:eastAsia="仿宋_GB2312" w:cs="仿宋_GB2312"/>
          <w:sz w:val="28"/>
          <w:szCs w:val="28"/>
        </w:rPr>
        <w:t>张</w:t>
      </w:r>
      <w:r>
        <w:rPr>
          <w:rFonts w:hint="eastAsia" w:ascii="仿宋_GB2312" w:hAnsi="仿宋_GB2312" w:eastAsia="仿宋_GB2312" w:cs="仿宋_GB2312"/>
          <w:sz w:val="28"/>
          <w:szCs w:val="28"/>
          <w:lang w:val="en-US" w:eastAsia="zh-CN"/>
        </w:rPr>
        <w:t>与案例</w:t>
      </w:r>
      <w:r>
        <w:rPr>
          <w:rFonts w:hint="eastAsia" w:ascii="仿宋_GB2312" w:hAnsi="仿宋_GB2312" w:eastAsia="仿宋_GB2312" w:cs="仿宋_GB2312"/>
          <w:sz w:val="28"/>
          <w:szCs w:val="28"/>
        </w:rPr>
        <w:t>相关照片</w:t>
      </w:r>
      <w:r>
        <w:rPr>
          <w:rFonts w:hint="default" w:ascii="仿宋_GB2312" w:hAnsi="仿宋_GB2312" w:eastAsia="仿宋_GB2312" w:cs="仿宋_GB2312"/>
          <w:i w:val="0"/>
          <w:iCs w:val="0"/>
          <w:caps w:val="0"/>
          <w:color w:val="auto"/>
          <w:spacing w:val="0"/>
          <w:sz w:val="28"/>
          <w:szCs w:val="28"/>
          <w:lang w:eastAsia="zh-CN"/>
        </w:rPr>
        <w:t>（照片格式为JPG，单张大小需≥2MB）</w:t>
      </w:r>
      <w:r>
        <w:rPr>
          <w:rFonts w:hint="eastAsia" w:ascii="仿宋_GB2312" w:hAnsi="仿宋_GB2312" w:eastAsia="仿宋_GB2312" w:cs="仿宋_GB2312"/>
          <w:i w:val="0"/>
          <w:iCs w:val="0"/>
          <w:caps w:val="0"/>
          <w:color w:val="auto"/>
          <w:spacing w:val="0"/>
          <w:sz w:val="28"/>
          <w:szCs w:val="28"/>
          <w:lang w:eastAsia="zh-CN"/>
        </w:rPr>
        <w:t>，</w:t>
      </w:r>
      <w:r>
        <w:rPr>
          <w:rFonts w:hint="eastAsia" w:ascii="仿宋_GB2312" w:hAnsi="仿宋_GB2312" w:eastAsia="仿宋_GB2312" w:cs="仿宋_GB2312"/>
          <w:sz w:val="28"/>
          <w:szCs w:val="28"/>
          <w:lang w:val="en-US" w:eastAsia="zh-CN"/>
        </w:rPr>
        <w:t>每1张照片</w:t>
      </w:r>
      <w:r>
        <w:rPr>
          <w:rFonts w:hint="eastAsia" w:ascii="仿宋_GB2312" w:hAnsi="仿宋_GB2312" w:eastAsia="仿宋_GB2312" w:cs="仿宋_GB2312"/>
          <w:sz w:val="28"/>
          <w:szCs w:val="28"/>
        </w:rPr>
        <w:t>附</w:t>
      </w:r>
      <w:r>
        <w:rPr>
          <w:rFonts w:hint="eastAsia" w:ascii="仿宋_GB2312" w:hAnsi="仿宋_GB2312" w:eastAsia="仿宋_GB2312" w:cs="仿宋_GB2312"/>
          <w:sz w:val="28"/>
          <w:szCs w:val="28"/>
          <w:lang w:val="en-US" w:eastAsia="zh-CN"/>
        </w:rPr>
        <w:t>简要</w:t>
      </w:r>
      <w:r>
        <w:rPr>
          <w:rFonts w:hint="eastAsia" w:ascii="仿宋_GB2312" w:hAnsi="仿宋_GB2312" w:eastAsia="仿宋_GB2312" w:cs="仿宋_GB2312"/>
          <w:sz w:val="28"/>
          <w:szCs w:val="28"/>
        </w:rPr>
        <w:t>说明）</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视频：与健康素养提升活动相关的1—2个视频；（3）学校的宣传片：展示学校整体教育教训风貌的宣传片。</w:t>
      </w:r>
      <w:r>
        <w:rPr>
          <w:rFonts w:hint="default" w:ascii="仿宋_GB2312" w:hAnsi="仿宋_GB2312" w:eastAsia="仿宋_GB2312" w:cs="仿宋_GB2312"/>
          <w:kern w:val="2"/>
          <w:sz w:val="28"/>
          <w:szCs w:val="28"/>
          <w:lang w:bidi="ar-SA"/>
        </w:rPr>
        <w:t>请将上述材料压缩成一个文件，并统一命名为：**区+**学校全称+健康素养提升案例佐证材料。随后，将该文件上传至百度网盘，并生成一个“永久有效”的分享链接。同时，请将该链接与提取码一并填写在《上海市学生健康素养提升案例征集活动申报表》中。</w:t>
      </w:r>
    </w:p>
    <w:p w14:paraId="699625A6">
      <w:pPr>
        <w:widowControl w:val="0"/>
        <w:numPr>
          <w:ilvl w:val="0"/>
          <w:numId w:val="0"/>
        </w:numPr>
        <w:wordWrap w:val="0"/>
        <w:spacing w:line="560" w:lineRule="exact"/>
        <w:ind w:left="0" w:firstLine="560" w:firstLineChars="200"/>
        <w:jc w:val="left"/>
        <w:rPr>
          <w:rFonts w:hint="default" w:ascii="仿宋_GB2312" w:hAnsi="仿宋_GB2312" w:eastAsia="仿宋_GB2312" w:cs="仿宋_GB2312"/>
          <w:i w:val="0"/>
          <w:iCs w:val="0"/>
          <w:caps w:val="0"/>
          <w:color w:val="auto"/>
          <w:spacing w:val="0"/>
          <w:sz w:val="28"/>
          <w:szCs w:val="28"/>
          <w:lang w:val="en-US" w:eastAsia="zh-CN" w:bidi="ar-SA"/>
        </w:rPr>
      </w:pPr>
      <w:r>
        <w:rPr>
          <w:rFonts w:hint="eastAsia" w:ascii="仿宋_GB2312" w:hAnsi="仿宋_GB2312" w:eastAsia="仿宋_GB2312" w:cs="仿宋_GB2312"/>
          <w:i w:val="0"/>
          <w:iCs w:val="0"/>
          <w:caps w:val="0"/>
          <w:color w:val="auto"/>
          <w:spacing w:val="0"/>
          <w:sz w:val="28"/>
          <w:szCs w:val="28"/>
          <w:lang w:val="en-US" w:eastAsia="zh-CN"/>
        </w:rPr>
        <w:t>4.</w:t>
      </w:r>
      <w:r>
        <w:rPr>
          <w:rFonts w:hint="eastAsia" w:ascii="仿宋_GB2312" w:hAnsi="仿宋_GB2312" w:eastAsia="仿宋_GB2312" w:cs="仿宋_GB2312"/>
          <w:i w:val="0"/>
          <w:iCs w:val="0"/>
          <w:caps w:val="0"/>
          <w:color w:val="auto"/>
          <w:spacing w:val="0"/>
          <w:kern w:val="2"/>
          <w:sz w:val="28"/>
          <w:szCs w:val="28"/>
          <w:lang w:val="en-US" w:eastAsia="zh-CN" w:bidi="ar-SA"/>
        </w:rPr>
        <w:t>参与方式</w:t>
      </w:r>
      <w:r>
        <w:rPr>
          <w:rFonts w:hint="default" w:ascii="仿宋_GB2312" w:hAnsi="仿宋_GB2312" w:eastAsia="仿宋_GB2312" w:cs="仿宋_GB2312"/>
          <w:i w:val="0"/>
          <w:iCs w:val="0"/>
          <w:caps w:val="0"/>
          <w:color w:val="auto"/>
          <w:spacing w:val="0"/>
          <w:kern w:val="2"/>
          <w:sz w:val="28"/>
          <w:szCs w:val="28"/>
          <w:lang w:bidi="ar-SA"/>
        </w:rPr>
        <w:t>：请</w:t>
      </w:r>
      <w:bookmarkStart w:id="0" w:name="_GoBack"/>
      <w:r>
        <w:rPr>
          <w:rFonts w:hint="default" w:ascii="仿宋_GB2312" w:hAnsi="仿宋_GB2312" w:eastAsia="仿宋_GB2312" w:cs="仿宋_GB2312"/>
          <w:i w:val="0"/>
          <w:iCs w:val="0"/>
          <w:caps w:val="0"/>
          <w:color w:val="auto"/>
          <w:spacing w:val="0"/>
          <w:kern w:val="2"/>
          <w:sz w:val="28"/>
          <w:szCs w:val="28"/>
          <w:lang w:bidi="ar-SA"/>
        </w:rPr>
        <w:t>于</w:t>
      </w:r>
      <w:r>
        <w:rPr>
          <w:rFonts w:hint="eastAsia" w:ascii="仿宋_GB2312" w:hAnsi="仿宋_GB2312" w:eastAsia="仿宋_GB2312" w:cs="仿宋_GB2312"/>
          <w:i w:val="0"/>
          <w:iCs w:val="0"/>
          <w:caps w:val="0"/>
          <w:color w:val="auto"/>
          <w:spacing w:val="0"/>
          <w:kern w:val="2"/>
          <w:sz w:val="28"/>
          <w:szCs w:val="28"/>
          <w:lang w:val="en-US" w:eastAsia="zh-CN" w:bidi="ar-SA"/>
        </w:rPr>
        <w:t>6</w:t>
      </w:r>
      <w:r>
        <w:rPr>
          <w:rFonts w:hint="default" w:ascii="仿宋_GB2312" w:hAnsi="仿宋_GB2312" w:eastAsia="仿宋_GB2312" w:cs="仿宋_GB2312"/>
          <w:i w:val="0"/>
          <w:iCs w:val="0"/>
          <w:caps w:val="0"/>
          <w:color w:val="auto"/>
          <w:spacing w:val="0"/>
          <w:kern w:val="2"/>
          <w:sz w:val="28"/>
          <w:szCs w:val="28"/>
          <w:lang w:bidi="ar-SA"/>
        </w:rPr>
        <w:t>月</w:t>
      </w:r>
      <w:r>
        <w:rPr>
          <w:rFonts w:hint="eastAsia" w:ascii="仿宋_GB2312" w:hAnsi="仿宋_GB2312" w:eastAsia="仿宋_GB2312" w:cs="仿宋_GB2312"/>
          <w:i w:val="0"/>
          <w:iCs w:val="0"/>
          <w:caps w:val="0"/>
          <w:color w:val="auto"/>
          <w:spacing w:val="0"/>
          <w:kern w:val="2"/>
          <w:sz w:val="28"/>
          <w:szCs w:val="28"/>
          <w:lang w:val="en-US" w:eastAsia="zh-CN" w:bidi="ar-SA"/>
        </w:rPr>
        <w:t>6</w:t>
      </w:r>
      <w:r>
        <w:rPr>
          <w:rFonts w:hint="default" w:ascii="仿宋_GB2312" w:hAnsi="仿宋_GB2312" w:eastAsia="仿宋_GB2312" w:cs="仿宋_GB2312"/>
          <w:i w:val="0"/>
          <w:iCs w:val="0"/>
          <w:caps w:val="0"/>
          <w:color w:val="auto"/>
          <w:spacing w:val="0"/>
          <w:kern w:val="2"/>
          <w:sz w:val="28"/>
          <w:szCs w:val="28"/>
          <w:lang w:bidi="ar-SA"/>
        </w:rPr>
        <w:t>日前将</w:t>
      </w:r>
      <w:bookmarkEnd w:id="0"/>
      <w:r>
        <w:rPr>
          <w:rFonts w:hint="default" w:ascii="仿宋_GB2312" w:hAnsi="仿宋_GB2312" w:eastAsia="仿宋_GB2312" w:cs="仿宋_GB2312"/>
          <w:i w:val="0"/>
          <w:iCs w:val="0"/>
          <w:caps w:val="0"/>
          <w:color w:val="auto"/>
          <w:spacing w:val="0"/>
          <w:kern w:val="2"/>
          <w:sz w:val="28"/>
          <w:szCs w:val="28"/>
          <w:lang w:bidi="ar-SA"/>
        </w:rPr>
        <w:t>所有材料提交至主办方指定通道。关注“上海儿童青少年健康”微信公众号，进入菜单栏，选择“专题活动”→“最新活动”</w:t>
      </w:r>
      <w:r>
        <w:rPr>
          <w:rFonts w:hint="eastAsia" w:ascii="仿宋_GB2312" w:hAnsi="仿宋_GB2312" w:eastAsia="仿宋_GB2312" w:cs="仿宋_GB2312"/>
          <w:i w:val="0"/>
          <w:iCs w:val="0"/>
          <w:caps w:val="0"/>
          <w:color w:val="auto"/>
          <w:spacing w:val="0"/>
          <w:kern w:val="2"/>
          <w:sz w:val="28"/>
          <w:szCs w:val="28"/>
          <w:lang w:eastAsia="zh-CN" w:bidi="ar-SA"/>
        </w:rPr>
        <w:t>，</w:t>
      </w:r>
      <w:r>
        <w:rPr>
          <w:rFonts w:hint="eastAsia" w:ascii="仿宋_GB2312" w:hAnsi="仿宋_GB2312" w:eastAsia="仿宋_GB2312" w:cs="仿宋_GB2312"/>
          <w:i w:val="0"/>
          <w:iCs w:val="0"/>
          <w:caps w:val="0"/>
          <w:color w:val="auto"/>
          <w:spacing w:val="0"/>
          <w:kern w:val="2"/>
          <w:sz w:val="28"/>
          <w:szCs w:val="28"/>
          <w:lang w:val="en-US" w:eastAsia="zh-CN" w:bidi="ar-SA"/>
        </w:rPr>
        <w:t>进入活动页面</w:t>
      </w:r>
      <w:r>
        <w:rPr>
          <w:rFonts w:hint="default" w:ascii="仿宋_GB2312" w:hAnsi="仿宋_GB2312" w:eastAsia="仿宋_GB2312" w:cs="仿宋_GB2312"/>
          <w:i w:val="0"/>
          <w:iCs w:val="0"/>
          <w:caps w:val="0"/>
          <w:color w:val="auto"/>
          <w:spacing w:val="0"/>
          <w:kern w:val="2"/>
          <w:sz w:val="28"/>
          <w:szCs w:val="28"/>
          <w:lang w:bidi="ar-SA"/>
        </w:rPr>
        <w:t>（点击本文文末的“阅读原文”链接进行作品上传）。根据页面提示填写参与信息，并上传</w:t>
      </w:r>
      <w:r>
        <w:rPr>
          <w:rFonts w:hint="eastAsia" w:ascii="仿宋_GB2312" w:hAnsi="仿宋_GB2312" w:eastAsia="仿宋_GB2312" w:cs="仿宋_GB2312"/>
          <w:sz w:val="28"/>
          <w:szCs w:val="28"/>
        </w:rPr>
        <w:t>《上海市学生</w:t>
      </w:r>
      <w:r>
        <w:rPr>
          <w:rFonts w:hint="eastAsia" w:ascii="仿宋_GB2312" w:hAnsi="仿宋_GB2312" w:eastAsia="仿宋_GB2312" w:cs="仿宋_GB2312"/>
          <w:sz w:val="28"/>
          <w:szCs w:val="28"/>
          <w:lang w:eastAsia="zh-CN"/>
        </w:rPr>
        <w:t>健康素养</w:t>
      </w:r>
      <w:r>
        <w:rPr>
          <w:rFonts w:hint="eastAsia" w:ascii="仿宋_GB2312" w:hAnsi="仿宋_GB2312" w:eastAsia="仿宋_GB2312" w:cs="仿宋_GB2312"/>
          <w:sz w:val="28"/>
          <w:szCs w:val="28"/>
        </w:rPr>
        <w:t>提升案例征集活动申报表》</w:t>
      </w:r>
      <w:r>
        <w:rPr>
          <w:rFonts w:hint="eastAsia" w:ascii="仿宋_GB2312" w:hAnsi="仿宋_GB2312" w:eastAsia="仿宋_GB2312" w:cs="仿宋_GB2312"/>
          <w:i w:val="0"/>
          <w:iCs w:val="0"/>
          <w:caps w:val="0"/>
          <w:color w:val="auto"/>
          <w:spacing w:val="0"/>
          <w:kern w:val="2"/>
          <w:sz w:val="28"/>
          <w:szCs w:val="28"/>
          <w:lang w:val="en-US" w:eastAsia="zh-CN" w:bidi="ar-SA"/>
        </w:rPr>
        <w:t>及“案例介绍”</w:t>
      </w:r>
      <w:r>
        <w:rPr>
          <w:rFonts w:hint="default" w:ascii="仿宋_GB2312" w:hAnsi="仿宋_GB2312" w:eastAsia="仿宋_GB2312" w:cs="仿宋_GB2312"/>
          <w:i w:val="0"/>
          <w:iCs w:val="0"/>
          <w:caps w:val="0"/>
          <w:color w:val="auto"/>
          <w:spacing w:val="0"/>
          <w:kern w:val="2"/>
          <w:sz w:val="28"/>
          <w:szCs w:val="28"/>
          <w:lang w:bidi="ar-SA"/>
        </w:rPr>
        <w:t>。</w:t>
      </w:r>
    </w:p>
    <w:p w14:paraId="49D08437">
      <w:pPr>
        <w:widowControl w:val="0"/>
        <w:numPr>
          <w:ilvl w:val="0"/>
          <w:numId w:val="0"/>
        </w:numPr>
        <w:spacing w:line="560" w:lineRule="exact"/>
        <w:ind w:left="0" w:firstLine="560" w:firstLineChars="200"/>
        <w:rPr>
          <w:rFonts w:hint="default" w:ascii="仿宋_GB2312" w:hAnsi="仿宋_GB2312" w:eastAsia="仿宋_GB2312" w:cs="仿宋_GB2312"/>
          <w:b/>
          <w:bCs/>
          <w:color w:val="auto"/>
          <w:sz w:val="28"/>
          <w:szCs w:val="28"/>
        </w:rPr>
      </w:pPr>
      <w:r>
        <w:rPr>
          <w:rFonts w:hint="eastAsia" w:ascii="楷体" w:hAnsi="楷体" w:eastAsia="楷体" w:cs="楷体"/>
          <w:b w:val="0"/>
          <w:bCs w:val="0"/>
          <w:color w:val="auto"/>
          <w:sz w:val="28"/>
          <w:szCs w:val="28"/>
          <w:lang w:val="en-US" w:eastAsia="zh-CN"/>
        </w:rPr>
        <w:t>（二）</w:t>
      </w:r>
      <w:r>
        <w:rPr>
          <w:rFonts w:hint="default" w:ascii="楷体" w:hAnsi="楷体" w:eastAsia="楷体" w:cs="楷体"/>
          <w:b w:val="0"/>
          <w:bCs w:val="0"/>
          <w:i w:val="0"/>
          <w:iCs w:val="0"/>
          <w:caps w:val="0"/>
          <w:color w:val="auto"/>
          <w:spacing w:val="0"/>
          <w:sz w:val="28"/>
          <w:szCs w:val="28"/>
        </w:rPr>
        <w:t>区级</w:t>
      </w:r>
      <w:r>
        <w:rPr>
          <w:rFonts w:hint="default" w:ascii="楷体" w:hAnsi="楷体" w:eastAsia="楷体" w:cs="楷体"/>
          <w:b w:val="0"/>
          <w:bCs w:val="0"/>
          <w:i w:val="0"/>
          <w:iCs w:val="0"/>
          <w:caps w:val="0"/>
          <w:color w:val="auto"/>
          <w:spacing w:val="0"/>
          <w:sz w:val="28"/>
          <w:szCs w:val="28"/>
          <w:lang w:val="en-US" w:eastAsia="zh-CN"/>
        </w:rPr>
        <w:t>遴选</w:t>
      </w:r>
    </w:p>
    <w:p w14:paraId="30CD6AB0">
      <w:pPr>
        <w:widowControl w:val="0"/>
        <w:numPr>
          <w:ilvl w:val="0"/>
          <w:numId w:val="0"/>
        </w:numPr>
        <w:spacing w:line="560" w:lineRule="exact"/>
        <w:ind w:left="0" w:firstLine="560" w:firstLineChars="200"/>
        <w:jc w:val="left"/>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eastAsia="zh-CN" w:bidi="ar-SA"/>
        </w:rPr>
        <w:t>区级单位可登录后台查看并下载学校申报材料，遴选出优秀案例（</w:t>
      </w:r>
      <w:r>
        <w:rPr>
          <w:rFonts w:hint="eastAsia" w:ascii="仿宋_GB2312" w:hAnsi="仿宋_GB2312" w:eastAsia="仿宋_GB2312" w:cs="仿宋_GB2312"/>
          <w:color w:val="auto"/>
          <w:kern w:val="2"/>
          <w:sz w:val="28"/>
          <w:szCs w:val="28"/>
          <w:lang w:val="en-US" w:eastAsia="zh-CN" w:bidi="ar-SA"/>
        </w:rPr>
        <w:t>数量不限）</w:t>
      </w:r>
      <w:r>
        <w:rPr>
          <w:rFonts w:hint="eastAsia" w:ascii="仿宋_GB2312" w:hAnsi="仿宋_GB2312" w:eastAsia="仿宋_GB2312" w:cs="仿宋_GB2312"/>
          <w:color w:val="auto"/>
          <w:kern w:val="2"/>
          <w:sz w:val="28"/>
          <w:szCs w:val="28"/>
          <w:lang w:eastAsia="zh-CN" w:bidi="ar-SA"/>
        </w:rPr>
        <w:t>并</w:t>
      </w:r>
      <w:r>
        <w:rPr>
          <w:rFonts w:hint="eastAsia" w:ascii="仿宋_GB2312" w:hAnsi="仿宋_GB2312" w:eastAsia="仿宋_GB2312" w:cs="仿宋_GB2312"/>
          <w:color w:val="auto"/>
          <w:kern w:val="2"/>
          <w:sz w:val="28"/>
          <w:szCs w:val="28"/>
          <w:lang w:val="en-US" w:eastAsia="zh-CN" w:bidi="ar-SA"/>
        </w:rPr>
        <w:t>于6</w:t>
      </w:r>
      <w:r>
        <w:rPr>
          <w:rFonts w:hint="eastAsia" w:ascii="仿宋_GB2312" w:hAnsi="仿宋_GB2312" w:eastAsia="仿宋_GB2312" w:cs="仿宋_GB2312"/>
          <w:color w:val="auto"/>
          <w:kern w:val="2"/>
          <w:sz w:val="28"/>
          <w:szCs w:val="28"/>
          <w:lang w:eastAsia="zh-CN" w:bidi="ar-SA"/>
        </w:rPr>
        <w:t>月1</w:t>
      </w:r>
      <w:r>
        <w:rPr>
          <w:rFonts w:hint="eastAsia" w:ascii="仿宋_GB2312" w:hAnsi="仿宋_GB2312" w:eastAsia="仿宋_GB2312" w:cs="仿宋_GB2312"/>
          <w:color w:val="auto"/>
          <w:kern w:val="2"/>
          <w:sz w:val="28"/>
          <w:szCs w:val="28"/>
          <w:lang w:val="en-US" w:eastAsia="zh-CN" w:bidi="ar-SA"/>
        </w:rPr>
        <w:t>3</w:t>
      </w:r>
      <w:r>
        <w:rPr>
          <w:rFonts w:hint="eastAsia" w:ascii="仿宋_GB2312" w:hAnsi="仿宋_GB2312" w:eastAsia="仿宋_GB2312" w:cs="仿宋_GB2312"/>
          <w:color w:val="auto"/>
          <w:kern w:val="2"/>
          <w:sz w:val="28"/>
          <w:szCs w:val="28"/>
          <w:lang w:eastAsia="zh-CN" w:bidi="ar-SA"/>
        </w:rPr>
        <w:t>日前</w:t>
      </w:r>
      <w:r>
        <w:rPr>
          <w:rFonts w:hint="eastAsia" w:ascii="仿宋_GB2312" w:hAnsi="仿宋_GB2312" w:eastAsia="仿宋_GB2312" w:cs="仿宋_GB2312"/>
          <w:color w:val="auto"/>
          <w:kern w:val="2"/>
          <w:sz w:val="28"/>
          <w:szCs w:val="28"/>
          <w:lang w:val="en-US" w:eastAsia="zh-CN" w:bidi="ar-SA"/>
        </w:rPr>
        <w:t>线上</w:t>
      </w:r>
      <w:r>
        <w:rPr>
          <w:rFonts w:hint="eastAsia" w:ascii="仿宋_GB2312" w:hAnsi="仿宋_GB2312" w:eastAsia="仿宋_GB2312" w:cs="仿宋_GB2312"/>
          <w:color w:val="auto"/>
          <w:kern w:val="2"/>
          <w:sz w:val="28"/>
          <w:szCs w:val="28"/>
          <w:lang w:eastAsia="zh-CN" w:bidi="ar-SA"/>
        </w:rPr>
        <w:t>提交至市级平台，</w:t>
      </w:r>
      <w:r>
        <w:rPr>
          <w:rFonts w:ascii="仿宋_GB2312" w:hAnsi="仿宋_GB2312" w:eastAsia="仿宋_GB2312" w:cs="仿宋_GB2312"/>
          <w:i w:val="0"/>
          <w:iCs w:val="0"/>
          <w:caps w:val="0"/>
          <w:spacing w:val="0"/>
          <w:sz w:val="28"/>
          <w:szCs w:val="28"/>
          <w:shd w:val="clear"/>
        </w:rPr>
        <w:t>具体操作步骤详见</w:t>
      </w:r>
      <w:r>
        <w:rPr>
          <w:rFonts w:hint="eastAsia" w:ascii="仿宋_GB2312" w:hAnsi="仿宋_GB2312" w:eastAsia="仿宋_GB2312" w:cs="仿宋_GB2312"/>
          <w:color w:val="auto"/>
          <w:kern w:val="2"/>
          <w:sz w:val="28"/>
          <w:szCs w:val="28"/>
          <w:lang w:val="en-US" w:eastAsia="zh-CN" w:bidi="ar-SA"/>
        </w:rPr>
        <w:t>操作</w:t>
      </w:r>
      <w:r>
        <w:rPr>
          <w:rFonts w:hint="eastAsia" w:ascii="仿宋_GB2312" w:hAnsi="仿宋_GB2312" w:eastAsia="仿宋_GB2312" w:cs="仿宋_GB2312"/>
          <w:color w:val="auto"/>
          <w:kern w:val="2"/>
          <w:sz w:val="28"/>
          <w:szCs w:val="28"/>
          <w:lang w:eastAsia="zh-CN" w:bidi="ar-SA"/>
        </w:rPr>
        <w:t>指南。</w:t>
      </w:r>
    </w:p>
    <w:p w14:paraId="7CFA458F">
      <w:pPr>
        <w:widowControl w:val="0"/>
        <w:numPr>
          <w:ilvl w:val="0"/>
          <w:numId w:val="0"/>
        </w:numPr>
        <w:spacing w:line="560" w:lineRule="exact"/>
        <w:ind w:left="0" w:firstLine="560" w:firstLineChars="200"/>
        <w:rPr>
          <w:rFonts w:hint="eastAsia" w:ascii="仿宋_GB2312" w:hAnsi="仿宋_GB2312" w:eastAsia="仿宋_GB2312" w:cs="仿宋_GB2312"/>
          <w:b/>
          <w:bCs/>
          <w:i w:val="0"/>
          <w:iCs w:val="0"/>
          <w:caps w:val="0"/>
          <w:color w:val="auto"/>
          <w:spacing w:val="0"/>
          <w:kern w:val="2"/>
          <w:sz w:val="28"/>
          <w:szCs w:val="28"/>
        </w:rPr>
      </w:pPr>
      <w:r>
        <w:rPr>
          <w:rFonts w:hint="eastAsia" w:ascii="楷体" w:hAnsi="楷体" w:eastAsia="楷体" w:cs="楷体"/>
          <w:b w:val="0"/>
          <w:bCs w:val="0"/>
          <w:color w:val="auto"/>
          <w:sz w:val="28"/>
          <w:szCs w:val="28"/>
          <w:lang w:val="en-US" w:eastAsia="zh-CN"/>
        </w:rPr>
        <w:t>（三）</w:t>
      </w:r>
      <w:r>
        <w:rPr>
          <w:rFonts w:hint="eastAsia" w:ascii="楷体" w:hAnsi="楷体" w:eastAsia="楷体" w:cs="楷体"/>
          <w:b w:val="0"/>
          <w:bCs w:val="0"/>
          <w:i w:val="0"/>
          <w:iCs w:val="0"/>
          <w:caps w:val="0"/>
          <w:color w:val="auto"/>
          <w:spacing w:val="0"/>
          <w:kern w:val="2"/>
          <w:sz w:val="28"/>
          <w:szCs w:val="28"/>
        </w:rPr>
        <w:t>市级评审</w:t>
      </w:r>
    </w:p>
    <w:p w14:paraId="129DAFFE">
      <w:pPr>
        <w:widowControl w:val="0"/>
        <w:spacing w:line="560" w:lineRule="exact"/>
        <w:ind w:firstLine="560" w:firstLineChars="200"/>
        <w:rPr>
          <w:rFonts w:hint="default" w:ascii="仿宋_GB2312" w:hAnsi="仿宋_GB2312" w:eastAsia="仿宋_GB2312" w:cs="仿宋_GB2312"/>
          <w:i w:val="0"/>
          <w:iCs w:val="0"/>
          <w:caps w:val="0"/>
          <w:spacing w:val="0"/>
          <w:kern w:val="2"/>
          <w:sz w:val="28"/>
          <w:szCs w:val="28"/>
          <w:lang w:bidi="ar-SA"/>
        </w:rPr>
      </w:pPr>
      <w:r>
        <w:rPr>
          <w:rFonts w:hint="eastAsia" w:ascii="仿宋_GB2312" w:hAnsi="仿宋_GB2312" w:eastAsia="仿宋_GB2312" w:cs="仿宋_GB2312"/>
          <w:sz w:val="28"/>
          <w:szCs w:val="28"/>
          <w:lang w:val="en-US" w:eastAsia="zh-CN"/>
        </w:rPr>
        <w:t>上海</w:t>
      </w:r>
      <w:r>
        <w:rPr>
          <w:rFonts w:hint="eastAsia" w:ascii="仿宋_GB2312" w:hAnsi="仿宋_GB2312" w:eastAsia="仿宋_GB2312" w:cs="仿宋_GB2312"/>
          <w:sz w:val="28"/>
          <w:szCs w:val="28"/>
        </w:rPr>
        <w:t>市科技艺术教育中心组织专家对</w:t>
      </w:r>
      <w:r>
        <w:rPr>
          <w:rFonts w:hint="eastAsia" w:ascii="仿宋_GB2312" w:hAnsi="仿宋_GB2312" w:eastAsia="仿宋_GB2312" w:cs="仿宋_GB2312"/>
          <w:sz w:val="28"/>
          <w:szCs w:val="28"/>
          <w:lang w:val="en-US" w:eastAsia="zh-CN"/>
        </w:rPr>
        <w:t>各区遴选推荐的案例</w:t>
      </w:r>
      <w:r>
        <w:rPr>
          <w:rFonts w:hint="eastAsia" w:ascii="仿宋_GB2312" w:hAnsi="仿宋_GB2312" w:eastAsia="仿宋_GB2312" w:cs="仿宋_GB2312"/>
          <w:sz w:val="28"/>
          <w:szCs w:val="28"/>
        </w:rPr>
        <w:t>进行评审，评选出优秀</w:t>
      </w:r>
      <w:r>
        <w:rPr>
          <w:rFonts w:hint="eastAsia" w:ascii="仿宋_GB2312" w:hAnsi="仿宋_GB2312" w:eastAsia="仿宋_GB2312" w:cs="仿宋_GB2312"/>
          <w:sz w:val="28"/>
          <w:szCs w:val="28"/>
          <w:lang w:val="en-US" w:eastAsia="zh-CN"/>
        </w:rPr>
        <w:t>案例</w:t>
      </w:r>
      <w:r>
        <w:rPr>
          <w:rFonts w:hint="eastAsia" w:ascii="仿宋_GB2312" w:hAnsi="仿宋_GB2312" w:eastAsia="仿宋_GB2312" w:cs="仿宋_GB2312"/>
          <w:sz w:val="28"/>
          <w:szCs w:val="28"/>
        </w:rPr>
        <w:t>奖若干名。</w:t>
      </w:r>
      <w:r>
        <w:rPr>
          <w:rFonts w:hint="default" w:ascii="仿宋_GB2312" w:hAnsi="仿宋_GB2312" w:eastAsia="仿宋_GB2312" w:cs="仿宋_GB2312"/>
          <w:i w:val="0"/>
          <w:iCs w:val="0"/>
          <w:caps w:val="0"/>
          <w:spacing w:val="0"/>
          <w:kern w:val="2"/>
          <w:sz w:val="28"/>
          <w:szCs w:val="28"/>
          <w:lang w:bidi="ar-SA"/>
        </w:rPr>
        <w:t>颁发荣誉证书，并通过市级媒体进行多渠道广泛宣传。</w:t>
      </w:r>
    </w:p>
    <w:p w14:paraId="3D33ECD1">
      <w:pPr>
        <w:pStyle w:val="3"/>
        <w:spacing w:before="0" w:line="560" w:lineRule="exact"/>
        <w:ind w:left="627"/>
        <w:outlineLvl w:val="1"/>
        <w:rPr>
          <w:rFonts w:hint="eastAsia" w:ascii="楷体" w:hAnsi="楷体" w:eastAsia="楷体" w:cs="楷体"/>
          <w:color w:val="auto"/>
          <w:sz w:val="28"/>
          <w:szCs w:val="28"/>
          <w:lang w:val="en-US" w:eastAsia="zh-CN"/>
        </w:rPr>
      </w:pPr>
      <w:r>
        <w:rPr>
          <w:rFonts w:hint="eastAsia" w:ascii="楷体" w:hAnsi="楷体" w:eastAsia="楷体" w:cs="楷体"/>
          <w:b w:val="0"/>
          <w:bCs w:val="0"/>
          <w:color w:val="auto"/>
          <w:sz w:val="28"/>
          <w:szCs w:val="28"/>
          <w:lang w:val="en-US" w:eastAsia="zh-CN"/>
        </w:rPr>
        <w:t>（四）</w:t>
      </w:r>
      <w:r>
        <w:rPr>
          <w:rFonts w:hint="eastAsia" w:ascii="楷体" w:hAnsi="楷体" w:eastAsia="楷体" w:cs="楷体"/>
          <w:color w:val="auto"/>
          <w:sz w:val="28"/>
          <w:szCs w:val="28"/>
          <w:lang w:val="en-US" w:eastAsia="zh-CN"/>
        </w:rPr>
        <w:t>工作展示</w:t>
      </w:r>
    </w:p>
    <w:p w14:paraId="036C9F1F">
      <w:pPr>
        <w:numPr>
          <w:ilvl w:val="0"/>
          <w:numId w:val="0"/>
        </w:numPr>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制作“上海市学生健康素养提升实践活动巡礼”专题片，对获得优秀的案例在</w:t>
      </w:r>
      <w:r>
        <w:rPr>
          <w:rFonts w:hint="eastAsia" w:ascii="仿宋_GB2312" w:hAnsi="仿宋_GB2312" w:eastAsia="仿宋_GB2312" w:cs="仿宋_GB2312"/>
          <w:i w:val="0"/>
          <w:iCs w:val="0"/>
          <w:caps w:val="0"/>
          <w:spacing w:val="0"/>
          <w:kern w:val="2"/>
          <w:sz w:val="28"/>
          <w:szCs w:val="28"/>
          <w:lang w:val="en-US" w:eastAsia="zh-CN"/>
        </w:rPr>
        <w:t>提升学生健康素养为核心所实施的创新举措及实践成果进行专题宣传推广。</w:t>
      </w:r>
    </w:p>
    <w:p w14:paraId="55E0D824">
      <w:pPr>
        <w:spacing w:line="560" w:lineRule="exact"/>
        <w:ind w:firstLine="560" w:firstLineChars="20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八</w:t>
      </w:r>
      <w:r>
        <w:rPr>
          <w:rFonts w:hint="eastAsia" w:ascii="黑体" w:hAnsi="黑体" w:eastAsia="黑体" w:cs="黑体"/>
          <w:sz w:val="28"/>
          <w:szCs w:val="28"/>
        </w:rPr>
        <w:t>、</w:t>
      </w:r>
      <w:r>
        <w:rPr>
          <w:rFonts w:hint="eastAsia" w:ascii="黑体" w:hAnsi="黑体" w:eastAsia="黑体" w:cs="黑体"/>
          <w:sz w:val="28"/>
          <w:szCs w:val="28"/>
          <w:lang w:val="en-US" w:eastAsia="zh-CN"/>
        </w:rPr>
        <w:t>活动组织</w:t>
      </w:r>
    </w:p>
    <w:p w14:paraId="20D75A62">
      <w:pPr>
        <w:numPr>
          <w:ilvl w:val="0"/>
          <w:numId w:val="0"/>
        </w:numPr>
        <w:spacing w:line="560" w:lineRule="exact"/>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各区积极宣传，</w:t>
      </w:r>
      <w:r>
        <w:rPr>
          <w:rFonts w:hint="eastAsia" w:ascii="仿宋_GB2312" w:hAnsi="仿宋_GB2312" w:eastAsia="仿宋_GB2312" w:cs="仿宋_GB2312"/>
          <w:sz w:val="28"/>
          <w:szCs w:val="28"/>
          <w:lang w:val="en-US" w:eastAsia="zh-CN"/>
        </w:rPr>
        <w:t>引导辖区</w:t>
      </w:r>
      <w:r>
        <w:rPr>
          <w:rFonts w:hint="eastAsia" w:ascii="仿宋_GB2312" w:hAnsi="仿宋_GB2312" w:eastAsia="仿宋_GB2312" w:cs="仿宋_GB2312"/>
          <w:sz w:val="28"/>
          <w:szCs w:val="28"/>
        </w:rPr>
        <w:t>内</w:t>
      </w:r>
      <w:r>
        <w:rPr>
          <w:rFonts w:hint="eastAsia" w:ascii="仿宋_GB2312" w:hAnsi="仿宋_GB2312" w:eastAsia="仿宋_GB2312" w:cs="仿宋_GB2312"/>
          <w:sz w:val="28"/>
          <w:szCs w:val="28"/>
          <w:lang w:val="en-US" w:eastAsia="zh-CN"/>
        </w:rPr>
        <w:t>学</w:t>
      </w:r>
      <w:r>
        <w:rPr>
          <w:rFonts w:hint="eastAsia" w:ascii="仿宋_GB2312" w:hAnsi="仿宋_GB2312" w:eastAsia="仿宋_GB2312" w:cs="仿宋_GB2312"/>
          <w:sz w:val="28"/>
          <w:szCs w:val="28"/>
        </w:rPr>
        <w:t>校参与，深入挖掘和推广在提升学生</w:t>
      </w:r>
      <w:r>
        <w:rPr>
          <w:rFonts w:hint="eastAsia" w:ascii="仿宋_GB2312" w:hAnsi="仿宋_GB2312" w:eastAsia="仿宋_GB2312" w:cs="仿宋_GB2312"/>
          <w:sz w:val="28"/>
          <w:szCs w:val="28"/>
          <w:lang w:eastAsia="zh-CN"/>
        </w:rPr>
        <w:t>健康素养</w:t>
      </w:r>
      <w:r>
        <w:rPr>
          <w:rFonts w:hint="eastAsia" w:ascii="仿宋_GB2312" w:hAnsi="仿宋_GB2312" w:eastAsia="仿宋_GB2312" w:cs="仿宋_GB2312"/>
          <w:sz w:val="28"/>
          <w:szCs w:val="28"/>
        </w:rPr>
        <w:t>方面的优秀案例。对推荐的案例进行审核，确保案例质量。学校在准备案例时，要注重结合学校实际情况和学生特点，</w:t>
      </w:r>
      <w:r>
        <w:rPr>
          <w:rFonts w:hint="eastAsia" w:ascii="仿宋_GB2312" w:hAnsi="仿宋_GB2312" w:eastAsia="仿宋_GB2312" w:cs="仿宋_GB2312"/>
          <w:sz w:val="28"/>
          <w:szCs w:val="28"/>
          <w:lang w:val="en-US" w:eastAsia="zh-CN"/>
        </w:rPr>
        <w:t>突出办园/校特色，</w:t>
      </w:r>
      <w:r>
        <w:rPr>
          <w:rFonts w:hint="eastAsia" w:ascii="仿宋_GB2312" w:hAnsi="仿宋_GB2312" w:eastAsia="仿宋_GB2312" w:cs="仿宋_GB2312"/>
          <w:sz w:val="28"/>
          <w:szCs w:val="28"/>
        </w:rPr>
        <w:t>确保案例具有可操作性和可推广性</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能够充分展示学校在提升学生</w:t>
      </w:r>
      <w:r>
        <w:rPr>
          <w:rFonts w:hint="eastAsia" w:ascii="仿宋_GB2312" w:hAnsi="仿宋_GB2312" w:eastAsia="仿宋_GB2312" w:cs="仿宋_GB2312"/>
          <w:sz w:val="28"/>
          <w:szCs w:val="28"/>
          <w:lang w:eastAsia="zh-CN"/>
        </w:rPr>
        <w:t>健康素养</w:t>
      </w:r>
      <w:r>
        <w:rPr>
          <w:rFonts w:hint="eastAsia" w:ascii="仿宋_GB2312" w:hAnsi="仿宋_GB2312" w:eastAsia="仿宋_GB2312" w:cs="仿宋_GB2312"/>
          <w:sz w:val="28"/>
          <w:szCs w:val="28"/>
        </w:rPr>
        <w:t>方面的努力和成果。</w:t>
      </w:r>
    </w:p>
    <w:p w14:paraId="60F9A6AC">
      <w:pPr>
        <w:spacing w:line="560" w:lineRule="exact"/>
        <w:ind w:firstLine="560" w:firstLineChars="200"/>
        <w:rPr>
          <w:rFonts w:hint="default" w:ascii="仿宋_GB2312" w:hAnsi="仿宋_GB2312" w:eastAsia="仿宋_GB2312" w:cs="仿宋_GB2312"/>
          <w:sz w:val="28"/>
          <w:szCs w:val="28"/>
        </w:rPr>
      </w:pPr>
    </w:p>
    <w:p w14:paraId="7701D680">
      <w:pPr>
        <w:spacing w:line="5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附件：1.</w:t>
      </w:r>
      <w:r>
        <w:rPr>
          <w:rFonts w:hint="eastAsia" w:ascii="仿宋_GB2312" w:hAnsi="仿宋_GB2312" w:eastAsia="仿宋_GB2312" w:cs="仿宋_GB2312"/>
          <w:color w:val="auto"/>
          <w:sz w:val="28"/>
          <w:szCs w:val="28"/>
          <w:lang w:val="en-US" w:eastAsia="zh-CN"/>
        </w:rPr>
        <w:t>上海市学生健康素养提升案例征集活动</w:t>
      </w:r>
      <w:r>
        <w:rPr>
          <w:rFonts w:hint="eastAsia" w:ascii="仿宋_GB2312" w:hAnsi="仿宋_GB2312" w:eastAsia="仿宋_GB2312" w:cs="仿宋_GB2312"/>
          <w:sz w:val="28"/>
          <w:szCs w:val="28"/>
        </w:rPr>
        <w:t>申报表</w:t>
      </w:r>
    </w:p>
    <w:p w14:paraId="114308ED">
      <w:pPr>
        <w:spacing w:line="560" w:lineRule="exact"/>
        <w:ind w:firstLine="1400" w:firstLineChars="5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color w:val="auto"/>
          <w:sz w:val="28"/>
          <w:szCs w:val="28"/>
          <w:lang w:val="en-US" w:eastAsia="zh-CN"/>
        </w:rPr>
        <w:t>上海市</w:t>
      </w:r>
      <w:r>
        <w:rPr>
          <w:rFonts w:hint="eastAsia" w:ascii="仿宋_GB2312" w:hAnsi="仿宋_GB2312" w:eastAsia="仿宋_GB2312" w:cs="仿宋_GB2312"/>
          <w:sz w:val="28"/>
          <w:szCs w:val="28"/>
          <w:lang w:val="en-US" w:eastAsia="zh-CN"/>
        </w:rPr>
        <w:t>学生健康素养提升案例介绍书写规范</w:t>
      </w:r>
    </w:p>
    <w:p w14:paraId="0B9FC394">
      <w:pPr>
        <w:spacing w:line="560" w:lineRule="exact"/>
        <w:ind w:firstLine="1400" w:firstLineChars="50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3.格式参考例文</w:t>
      </w:r>
    </w:p>
    <w:p w14:paraId="73A4231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textAlignment w:val="auto"/>
        <w:rPr>
          <w:rFonts w:hint="default" w:ascii="仿宋_GB2312" w:hAnsi="仿宋_GB2312" w:eastAsia="仿宋_GB2312" w:cs="仿宋_GB2312"/>
          <w:sz w:val="28"/>
          <w:szCs w:val="28"/>
          <w:lang w:val="en-US" w:eastAsia="zh-CN"/>
        </w:rPr>
      </w:pPr>
    </w:p>
    <w:p w14:paraId="19EF0869">
      <w:pPr>
        <w:spacing w:line="560" w:lineRule="exact"/>
        <w:ind w:firstLine="1960" w:firstLineChars="7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p w14:paraId="20656BBD">
      <w:pPr>
        <w:spacing w:line="580" w:lineRule="exact"/>
        <w:rPr>
          <w:rFonts w:ascii="仿宋" w:hAnsi="仿宋" w:eastAsia="仿宋"/>
          <w:sz w:val="32"/>
          <w:szCs w:val="32"/>
        </w:rPr>
      </w:pPr>
      <w:r>
        <w:rPr>
          <w:rFonts w:hint="eastAsia" w:ascii="仿宋_GB2312" w:hAnsi="仿宋_GB2312" w:eastAsia="仿宋_GB2312" w:cs="仿宋_GB2312"/>
          <w:sz w:val="28"/>
          <w:szCs w:val="28"/>
        </w:rPr>
        <w:t>附件</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w:t>
      </w:r>
    </w:p>
    <w:p w14:paraId="526035F7">
      <w:pPr>
        <w:jc w:val="center"/>
        <w:rPr>
          <w:rFonts w:ascii="华文中宋" w:hAnsi="华文中宋" w:eastAsia="华文中宋" w:cs="华文中宋"/>
          <w:b/>
          <w:color w:val="000000"/>
          <w:kern w:val="0"/>
          <w:sz w:val="36"/>
          <w:szCs w:val="36"/>
        </w:rPr>
      </w:pPr>
      <w:r>
        <w:rPr>
          <w:rFonts w:hint="eastAsia" w:ascii="华文中宋" w:hAnsi="华文中宋" w:eastAsia="华文中宋" w:cs="华文中宋"/>
          <w:b/>
          <w:color w:val="000000"/>
          <w:kern w:val="0"/>
          <w:sz w:val="36"/>
          <w:szCs w:val="36"/>
          <w:lang w:val="en-US" w:eastAsia="zh-CN"/>
        </w:rPr>
        <w:t>上海市学生健康素养提升案例征集活动</w:t>
      </w:r>
      <w:r>
        <w:rPr>
          <w:rFonts w:hint="eastAsia" w:ascii="华文中宋" w:hAnsi="华文中宋" w:eastAsia="华文中宋" w:cs="华文中宋"/>
          <w:b/>
          <w:color w:val="000000"/>
          <w:kern w:val="0"/>
          <w:sz w:val="36"/>
          <w:szCs w:val="36"/>
        </w:rPr>
        <w:t>申报表</w:t>
      </w:r>
    </w:p>
    <w:tbl>
      <w:tblPr>
        <w:tblStyle w:val="8"/>
        <w:tblpPr w:leftFromText="180" w:rightFromText="180" w:vertAnchor="text" w:horzAnchor="page" w:tblpX="1519" w:tblpY="271"/>
        <w:tblOverlap w:val="never"/>
        <w:tblW w:w="924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43"/>
        <w:gridCol w:w="1467"/>
        <w:gridCol w:w="2266"/>
        <w:gridCol w:w="3264"/>
      </w:tblGrid>
      <w:tr w14:paraId="3A58A6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243" w:type="dxa"/>
            <w:tcBorders>
              <w:top w:val="single" w:color="000000" w:sz="6" w:space="0"/>
              <w:left w:val="single" w:color="000000" w:sz="6" w:space="0"/>
              <w:bottom w:val="single" w:color="000000" w:sz="6" w:space="0"/>
              <w:right w:val="single" w:color="000000" w:sz="6" w:space="0"/>
            </w:tcBorders>
            <w:noWrap w:val="0"/>
            <w:vAlign w:val="center"/>
          </w:tcPr>
          <w:p w14:paraId="228979D6">
            <w:pPr>
              <w:widowControl/>
              <w:spacing w:before="100" w:beforeAutospacing="1" w:after="100" w:afterAutospacing="1" w:line="360" w:lineRule="exact"/>
              <w:jc w:val="center"/>
              <w:rPr>
                <w:rFonts w:hint="eastAsia" w:ascii="黑体" w:hAnsi="黑体" w:eastAsia="黑体" w:cs="黑体"/>
                <w:b w:val="0"/>
                <w:bCs w:val="0"/>
                <w:kern w:val="2"/>
                <w:sz w:val="20"/>
                <w:szCs w:val="20"/>
              </w:rPr>
            </w:pPr>
            <w:r>
              <w:rPr>
                <w:rFonts w:hint="eastAsia" w:ascii="黑体" w:hAnsi="黑体" w:eastAsia="黑体" w:cs="黑体"/>
                <w:b w:val="0"/>
                <w:bCs w:val="0"/>
                <w:kern w:val="2"/>
                <w:sz w:val="20"/>
                <w:szCs w:val="20"/>
                <w:lang w:val="en-US" w:eastAsia="zh-CN"/>
              </w:rPr>
              <w:t>案例名称</w:t>
            </w:r>
          </w:p>
        </w:tc>
        <w:tc>
          <w:tcPr>
            <w:tcW w:w="6997" w:type="dxa"/>
            <w:gridSpan w:val="3"/>
            <w:tcBorders>
              <w:top w:val="single" w:color="000000" w:sz="6" w:space="0"/>
              <w:left w:val="single" w:color="000000" w:sz="6" w:space="0"/>
              <w:bottom w:val="single" w:color="000000" w:sz="6" w:space="0"/>
              <w:right w:val="single" w:color="000000" w:sz="6" w:space="0"/>
            </w:tcBorders>
            <w:noWrap w:val="0"/>
            <w:vAlign w:val="center"/>
          </w:tcPr>
          <w:p w14:paraId="2A1A6202">
            <w:pPr>
              <w:widowControl/>
              <w:spacing w:line="360" w:lineRule="exact"/>
              <w:jc w:val="left"/>
              <w:rPr>
                <w:rFonts w:hint="eastAsia" w:ascii="黑体" w:hAnsi="黑体" w:eastAsia="黑体" w:cs="黑体"/>
                <w:b w:val="0"/>
                <w:bCs w:val="0"/>
                <w:kern w:val="0"/>
                <w:sz w:val="20"/>
                <w:szCs w:val="20"/>
              </w:rPr>
            </w:pPr>
          </w:p>
        </w:tc>
      </w:tr>
      <w:tr w14:paraId="430026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243" w:type="dxa"/>
            <w:tcBorders>
              <w:top w:val="single" w:color="000000" w:sz="6" w:space="0"/>
              <w:left w:val="single" w:color="000000" w:sz="6" w:space="0"/>
              <w:bottom w:val="single" w:color="000000" w:sz="6" w:space="0"/>
              <w:right w:val="single" w:color="000000" w:sz="6" w:space="0"/>
            </w:tcBorders>
            <w:noWrap w:val="0"/>
            <w:vAlign w:val="center"/>
          </w:tcPr>
          <w:p w14:paraId="45E76923">
            <w:pPr>
              <w:widowControl/>
              <w:spacing w:before="100" w:beforeAutospacing="1" w:after="100" w:afterAutospacing="1" w:line="360" w:lineRule="exact"/>
              <w:jc w:val="center"/>
              <w:rPr>
                <w:rFonts w:hint="default" w:ascii="黑体" w:hAnsi="黑体" w:eastAsia="黑体" w:cs="黑体"/>
                <w:b w:val="0"/>
                <w:bCs w:val="0"/>
                <w:kern w:val="0"/>
                <w:sz w:val="20"/>
                <w:szCs w:val="20"/>
                <w:lang w:val="en-US" w:eastAsia="zh-CN"/>
              </w:rPr>
            </w:pPr>
            <w:r>
              <w:rPr>
                <w:rFonts w:hint="eastAsia" w:ascii="黑体" w:hAnsi="黑体" w:eastAsia="黑体" w:cs="黑体"/>
                <w:b w:val="0"/>
                <w:bCs w:val="0"/>
                <w:kern w:val="2"/>
                <w:sz w:val="20"/>
                <w:szCs w:val="20"/>
                <w:lang w:val="en-US" w:eastAsia="zh-CN"/>
              </w:rPr>
              <w:t>所属辖区</w:t>
            </w:r>
          </w:p>
        </w:tc>
        <w:tc>
          <w:tcPr>
            <w:tcW w:w="1467" w:type="dxa"/>
            <w:tcBorders>
              <w:top w:val="single" w:color="000000" w:sz="6" w:space="0"/>
              <w:left w:val="single" w:color="000000" w:sz="6" w:space="0"/>
              <w:bottom w:val="single" w:color="000000" w:sz="6" w:space="0"/>
              <w:right w:val="single" w:color="000000" w:sz="6" w:space="0"/>
            </w:tcBorders>
            <w:noWrap w:val="0"/>
            <w:vAlign w:val="center"/>
          </w:tcPr>
          <w:p w14:paraId="5E72B4A1">
            <w:pPr>
              <w:widowControl/>
              <w:spacing w:before="100" w:beforeAutospacing="1" w:after="100" w:afterAutospacing="1" w:line="360" w:lineRule="exact"/>
              <w:jc w:val="center"/>
              <w:rPr>
                <w:rFonts w:hint="eastAsia" w:ascii="黑体" w:hAnsi="黑体" w:eastAsia="黑体" w:cs="黑体"/>
                <w:b w:val="0"/>
                <w:bCs w:val="0"/>
                <w:kern w:val="0"/>
                <w:sz w:val="20"/>
                <w:szCs w:val="20"/>
              </w:rPr>
            </w:pPr>
          </w:p>
        </w:tc>
        <w:tc>
          <w:tcPr>
            <w:tcW w:w="2266" w:type="dxa"/>
            <w:tcBorders>
              <w:top w:val="single" w:color="000000" w:sz="6" w:space="0"/>
              <w:left w:val="single" w:color="000000" w:sz="6" w:space="0"/>
              <w:bottom w:val="single" w:color="000000" w:sz="6" w:space="0"/>
              <w:right w:val="single" w:color="000000" w:sz="6" w:space="0"/>
            </w:tcBorders>
            <w:noWrap w:val="0"/>
            <w:vAlign w:val="center"/>
          </w:tcPr>
          <w:p w14:paraId="456036B0">
            <w:pPr>
              <w:widowControl/>
              <w:spacing w:before="100" w:beforeAutospacing="1" w:after="100" w:afterAutospacing="1" w:line="360" w:lineRule="exact"/>
              <w:ind w:firstLine="0" w:firstLineChars="0"/>
              <w:jc w:val="center"/>
              <w:rPr>
                <w:rFonts w:hint="eastAsia" w:ascii="黑体" w:hAnsi="黑体" w:eastAsia="黑体" w:cs="黑体"/>
                <w:b w:val="0"/>
                <w:bCs w:val="0"/>
                <w:kern w:val="2"/>
                <w:sz w:val="20"/>
                <w:szCs w:val="20"/>
              </w:rPr>
            </w:pPr>
            <w:r>
              <w:rPr>
                <w:rFonts w:hint="eastAsia" w:ascii="黑体" w:hAnsi="黑体" w:eastAsia="黑体" w:cs="黑体"/>
                <w:b w:val="0"/>
                <w:bCs w:val="0"/>
                <w:kern w:val="2"/>
                <w:sz w:val="20"/>
                <w:szCs w:val="20"/>
                <w:lang w:val="en-US" w:eastAsia="zh-CN"/>
              </w:rPr>
              <w:t>学校/单位名称     （规范全称）</w:t>
            </w:r>
          </w:p>
        </w:tc>
        <w:tc>
          <w:tcPr>
            <w:tcW w:w="3264" w:type="dxa"/>
            <w:tcBorders>
              <w:top w:val="single" w:color="000000" w:sz="6" w:space="0"/>
              <w:left w:val="single" w:color="000000" w:sz="6" w:space="0"/>
              <w:bottom w:val="single" w:color="000000" w:sz="6" w:space="0"/>
              <w:right w:val="single" w:color="000000" w:sz="6" w:space="0"/>
            </w:tcBorders>
            <w:noWrap w:val="0"/>
            <w:vAlign w:val="center"/>
          </w:tcPr>
          <w:p w14:paraId="3C99D173">
            <w:pPr>
              <w:widowControl/>
              <w:spacing w:line="360" w:lineRule="exact"/>
              <w:jc w:val="left"/>
              <w:rPr>
                <w:rFonts w:hint="eastAsia" w:ascii="黑体" w:hAnsi="黑体" w:eastAsia="黑体" w:cs="黑体"/>
                <w:b w:val="0"/>
                <w:bCs w:val="0"/>
                <w:kern w:val="0"/>
                <w:sz w:val="20"/>
                <w:szCs w:val="20"/>
              </w:rPr>
            </w:pPr>
          </w:p>
        </w:tc>
      </w:tr>
      <w:tr w14:paraId="51F065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243" w:type="dxa"/>
            <w:tcBorders>
              <w:top w:val="single" w:color="000000" w:sz="6" w:space="0"/>
              <w:left w:val="single" w:color="000000" w:sz="6" w:space="0"/>
              <w:bottom w:val="single" w:color="000000" w:sz="6" w:space="0"/>
              <w:right w:val="single" w:color="000000" w:sz="6" w:space="0"/>
            </w:tcBorders>
            <w:noWrap w:val="0"/>
            <w:vAlign w:val="center"/>
          </w:tcPr>
          <w:p w14:paraId="7BF5C42C">
            <w:pPr>
              <w:widowControl/>
              <w:spacing w:before="0" w:beforeAutospacing="0" w:after="0" w:afterAutospacing="0" w:line="360" w:lineRule="exact"/>
              <w:jc w:val="center"/>
              <w:rPr>
                <w:rFonts w:hint="eastAsia" w:ascii="黑体" w:hAnsi="黑体" w:eastAsia="黑体" w:cs="黑体"/>
                <w:b w:val="0"/>
                <w:bCs w:val="0"/>
                <w:kern w:val="2"/>
                <w:sz w:val="20"/>
                <w:szCs w:val="20"/>
                <w:lang w:val="en-US" w:eastAsia="zh-CN"/>
              </w:rPr>
            </w:pPr>
            <w:r>
              <w:rPr>
                <w:rFonts w:hint="eastAsia" w:ascii="黑体" w:hAnsi="黑体" w:eastAsia="黑体" w:cs="黑体"/>
                <w:b w:val="0"/>
                <w:bCs w:val="0"/>
                <w:kern w:val="2"/>
                <w:sz w:val="20"/>
                <w:szCs w:val="20"/>
                <w:lang w:val="en-US" w:eastAsia="zh-CN"/>
              </w:rPr>
              <w:t>案例参与人</w:t>
            </w:r>
          </w:p>
          <w:p w14:paraId="1143EFA0">
            <w:pPr>
              <w:widowControl/>
              <w:spacing w:before="0" w:beforeAutospacing="0" w:after="0" w:afterAutospacing="0" w:line="360" w:lineRule="exact"/>
              <w:jc w:val="center"/>
              <w:rPr>
                <w:rFonts w:hint="eastAsia" w:ascii="黑体" w:hAnsi="黑体" w:eastAsia="黑体" w:cs="黑体"/>
                <w:b w:val="0"/>
                <w:bCs w:val="0"/>
                <w:kern w:val="0"/>
                <w:sz w:val="20"/>
                <w:szCs w:val="20"/>
                <w:lang w:val="en-US" w:eastAsia="zh-CN" w:bidi="ar-SA"/>
              </w:rPr>
            </w:pPr>
            <w:r>
              <w:rPr>
                <w:rFonts w:hint="eastAsia" w:ascii="黑体" w:hAnsi="黑体" w:eastAsia="黑体" w:cs="黑体"/>
                <w:b w:val="0"/>
                <w:bCs w:val="0"/>
                <w:kern w:val="2"/>
                <w:sz w:val="20"/>
                <w:szCs w:val="20"/>
                <w:lang w:val="en-US" w:eastAsia="zh-CN"/>
              </w:rPr>
              <w:t>（原则上不超过7人）</w:t>
            </w:r>
          </w:p>
        </w:tc>
        <w:tc>
          <w:tcPr>
            <w:tcW w:w="6997" w:type="dxa"/>
            <w:gridSpan w:val="3"/>
            <w:tcBorders>
              <w:top w:val="single" w:color="000000" w:sz="6" w:space="0"/>
              <w:left w:val="single" w:color="000000" w:sz="6" w:space="0"/>
              <w:bottom w:val="single" w:color="000000" w:sz="6" w:space="0"/>
              <w:right w:val="single" w:color="000000" w:sz="6" w:space="0"/>
            </w:tcBorders>
            <w:noWrap w:val="0"/>
            <w:vAlign w:val="center"/>
          </w:tcPr>
          <w:p w14:paraId="6964EEBA">
            <w:pPr>
              <w:widowControl/>
              <w:spacing w:line="360" w:lineRule="exact"/>
              <w:jc w:val="left"/>
              <w:rPr>
                <w:rFonts w:hint="eastAsia" w:ascii="黑体" w:hAnsi="黑体" w:eastAsia="黑体" w:cs="黑体"/>
                <w:b w:val="0"/>
                <w:bCs w:val="0"/>
                <w:kern w:val="0"/>
                <w:sz w:val="20"/>
                <w:szCs w:val="20"/>
                <w:lang w:val="en-US" w:eastAsia="zh-CN" w:bidi="ar-SA"/>
              </w:rPr>
            </w:pPr>
          </w:p>
        </w:tc>
      </w:tr>
      <w:tr w14:paraId="4F1990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243" w:type="dxa"/>
            <w:tcBorders>
              <w:top w:val="single" w:color="000000" w:sz="6" w:space="0"/>
              <w:left w:val="single" w:color="000000" w:sz="6" w:space="0"/>
              <w:bottom w:val="single" w:color="000000" w:sz="6" w:space="0"/>
              <w:right w:val="single" w:color="000000" w:sz="6" w:space="0"/>
            </w:tcBorders>
            <w:noWrap w:val="0"/>
            <w:vAlign w:val="center"/>
          </w:tcPr>
          <w:p w14:paraId="6A2EE3F1">
            <w:pPr>
              <w:widowControl/>
              <w:spacing w:before="100" w:beforeAutospacing="1" w:after="100" w:afterAutospacing="1" w:line="360" w:lineRule="exact"/>
              <w:jc w:val="center"/>
              <w:rPr>
                <w:rFonts w:hint="eastAsia" w:ascii="黑体" w:hAnsi="黑体" w:eastAsia="黑体" w:cs="黑体"/>
                <w:b w:val="0"/>
                <w:bCs w:val="0"/>
                <w:kern w:val="2"/>
                <w:sz w:val="20"/>
                <w:szCs w:val="20"/>
                <w:lang w:val="en-US" w:eastAsia="zh-CN" w:bidi="ar-SA"/>
              </w:rPr>
            </w:pPr>
            <w:r>
              <w:rPr>
                <w:rFonts w:hint="eastAsia" w:ascii="黑体" w:hAnsi="黑体" w:eastAsia="黑体" w:cs="黑体"/>
                <w:b w:val="0"/>
                <w:bCs w:val="0"/>
                <w:kern w:val="2"/>
                <w:sz w:val="20"/>
                <w:szCs w:val="20"/>
              </w:rPr>
              <w:t>联系人</w:t>
            </w:r>
          </w:p>
        </w:tc>
        <w:tc>
          <w:tcPr>
            <w:tcW w:w="1467" w:type="dxa"/>
            <w:tcBorders>
              <w:top w:val="single" w:color="000000" w:sz="6" w:space="0"/>
              <w:left w:val="single" w:color="000000" w:sz="6" w:space="0"/>
              <w:bottom w:val="single" w:color="000000" w:sz="6" w:space="0"/>
              <w:right w:val="single" w:color="000000" w:sz="6" w:space="0"/>
            </w:tcBorders>
            <w:noWrap w:val="0"/>
            <w:vAlign w:val="center"/>
          </w:tcPr>
          <w:p w14:paraId="2AA6EB1B">
            <w:pPr>
              <w:widowControl/>
              <w:spacing w:before="100" w:beforeAutospacing="1" w:after="100" w:afterAutospacing="1" w:line="360" w:lineRule="exact"/>
              <w:jc w:val="center"/>
              <w:rPr>
                <w:rFonts w:hint="eastAsia" w:ascii="黑体" w:hAnsi="黑体" w:eastAsia="黑体" w:cs="黑体"/>
                <w:b w:val="0"/>
                <w:bCs w:val="0"/>
                <w:kern w:val="0"/>
                <w:sz w:val="20"/>
                <w:szCs w:val="20"/>
                <w:lang w:val="en-US" w:eastAsia="zh-CN" w:bidi="ar-SA"/>
              </w:rPr>
            </w:pPr>
          </w:p>
        </w:tc>
        <w:tc>
          <w:tcPr>
            <w:tcW w:w="2266" w:type="dxa"/>
            <w:tcBorders>
              <w:top w:val="single" w:color="000000" w:sz="6" w:space="0"/>
              <w:left w:val="single" w:color="000000" w:sz="6" w:space="0"/>
              <w:bottom w:val="single" w:color="000000" w:sz="6" w:space="0"/>
              <w:right w:val="single" w:color="000000" w:sz="6" w:space="0"/>
            </w:tcBorders>
            <w:noWrap w:val="0"/>
            <w:vAlign w:val="center"/>
          </w:tcPr>
          <w:p w14:paraId="1F7D5BE8">
            <w:pPr>
              <w:widowControl/>
              <w:spacing w:before="100" w:beforeAutospacing="1" w:after="100" w:afterAutospacing="1" w:line="360" w:lineRule="exact"/>
              <w:ind w:firstLine="200" w:firstLineChars="100"/>
              <w:jc w:val="center"/>
              <w:rPr>
                <w:rFonts w:hint="eastAsia" w:ascii="黑体" w:hAnsi="黑体" w:eastAsia="黑体" w:cs="黑体"/>
                <w:b w:val="0"/>
                <w:bCs w:val="0"/>
                <w:kern w:val="2"/>
                <w:sz w:val="20"/>
                <w:szCs w:val="20"/>
                <w:lang w:val="en-US" w:eastAsia="zh-CN" w:bidi="ar-SA"/>
              </w:rPr>
            </w:pPr>
            <w:r>
              <w:rPr>
                <w:rFonts w:hint="eastAsia" w:ascii="黑体" w:hAnsi="黑体" w:eastAsia="黑体" w:cs="黑体"/>
                <w:b w:val="0"/>
                <w:bCs w:val="0"/>
                <w:kern w:val="2"/>
                <w:sz w:val="20"/>
                <w:szCs w:val="20"/>
              </w:rPr>
              <w:t>手机号码</w:t>
            </w:r>
          </w:p>
        </w:tc>
        <w:tc>
          <w:tcPr>
            <w:tcW w:w="3264" w:type="dxa"/>
            <w:tcBorders>
              <w:top w:val="single" w:color="000000" w:sz="6" w:space="0"/>
              <w:left w:val="single" w:color="000000" w:sz="6" w:space="0"/>
              <w:bottom w:val="single" w:color="000000" w:sz="6" w:space="0"/>
              <w:right w:val="single" w:color="000000" w:sz="6" w:space="0"/>
            </w:tcBorders>
            <w:noWrap w:val="0"/>
            <w:vAlign w:val="center"/>
          </w:tcPr>
          <w:p w14:paraId="67BD005E">
            <w:pPr>
              <w:widowControl/>
              <w:spacing w:line="360" w:lineRule="exact"/>
              <w:jc w:val="left"/>
              <w:rPr>
                <w:rFonts w:hint="eastAsia" w:ascii="黑体" w:hAnsi="黑体" w:eastAsia="黑体" w:cs="黑体"/>
                <w:b w:val="0"/>
                <w:bCs w:val="0"/>
                <w:kern w:val="0"/>
                <w:sz w:val="20"/>
                <w:szCs w:val="20"/>
                <w:lang w:val="en-US" w:eastAsia="zh-CN" w:bidi="ar-SA"/>
              </w:rPr>
            </w:pPr>
          </w:p>
        </w:tc>
      </w:tr>
      <w:tr w14:paraId="4ED35D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9" w:hRule="atLeast"/>
        </w:trPr>
        <w:tc>
          <w:tcPr>
            <w:tcW w:w="2243" w:type="dxa"/>
            <w:tcBorders>
              <w:top w:val="single" w:color="000000" w:sz="6" w:space="0"/>
              <w:left w:val="single" w:color="000000" w:sz="6" w:space="0"/>
              <w:bottom w:val="single" w:color="000000" w:sz="6" w:space="0"/>
              <w:right w:val="single" w:color="000000" w:sz="6" w:space="0"/>
            </w:tcBorders>
            <w:noWrap w:val="0"/>
            <w:vAlign w:val="center"/>
          </w:tcPr>
          <w:p w14:paraId="0AEC0511">
            <w:pPr>
              <w:keepNext w:val="0"/>
              <w:keepLines w:val="0"/>
              <w:pageBreakBefore w:val="0"/>
              <w:widowControl/>
              <w:kinsoku/>
              <w:wordWrap/>
              <w:overflowPunct/>
              <w:topLinePunct w:val="0"/>
              <w:autoSpaceDE/>
              <w:autoSpaceDN/>
              <w:bidi w:val="0"/>
              <w:adjustRightInd/>
              <w:snapToGrid/>
              <w:spacing w:beforeAutospacing="0" w:afterAutospacing="0" w:line="360" w:lineRule="exact"/>
              <w:jc w:val="center"/>
              <w:textAlignment w:val="auto"/>
              <w:rPr>
                <w:rFonts w:hint="eastAsia" w:ascii="黑体" w:hAnsi="黑体" w:eastAsia="黑体" w:cs="黑体"/>
                <w:b w:val="0"/>
                <w:bCs w:val="0"/>
                <w:kern w:val="2"/>
                <w:sz w:val="20"/>
                <w:szCs w:val="20"/>
                <w:lang w:val="en-US" w:eastAsia="zh-CN" w:bidi="ar-SA"/>
              </w:rPr>
            </w:pPr>
            <w:r>
              <w:rPr>
                <w:rFonts w:hint="eastAsia" w:ascii="黑体" w:hAnsi="黑体" w:eastAsia="黑体" w:cs="黑体"/>
                <w:b w:val="0"/>
                <w:bCs w:val="0"/>
                <w:sz w:val="20"/>
                <w:szCs w:val="20"/>
                <w:lang w:val="en-US" w:eastAsia="zh-CN"/>
              </w:rPr>
              <w:t>学校</w:t>
            </w:r>
            <w:r>
              <w:rPr>
                <w:rFonts w:hint="eastAsia" w:ascii="黑体" w:hAnsi="黑体" w:eastAsia="黑体" w:cs="黑体"/>
                <w:b w:val="0"/>
                <w:bCs w:val="0"/>
                <w:kern w:val="2"/>
                <w:sz w:val="20"/>
                <w:szCs w:val="20"/>
                <w:lang w:val="en-US" w:eastAsia="zh-CN"/>
              </w:rPr>
              <w:t>/单位</w:t>
            </w:r>
            <w:r>
              <w:rPr>
                <w:rFonts w:hint="eastAsia" w:ascii="黑体" w:hAnsi="黑体" w:eastAsia="黑体" w:cs="黑体"/>
                <w:b w:val="0"/>
                <w:bCs w:val="0"/>
                <w:sz w:val="20"/>
                <w:szCs w:val="20"/>
                <w:lang w:val="en-US" w:eastAsia="zh-CN"/>
              </w:rPr>
              <w:t>地址</w:t>
            </w:r>
          </w:p>
        </w:tc>
        <w:tc>
          <w:tcPr>
            <w:tcW w:w="6997" w:type="dxa"/>
            <w:gridSpan w:val="3"/>
            <w:tcBorders>
              <w:top w:val="single" w:color="000000" w:sz="6" w:space="0"/>
              <w:left w:val="single" w:color="000000" w:sz="6" w:space="0"/>
              <w:bottom w:val="single" w:color="000000" w:sz="6" w:space="0"/>
              <w:right w:val="single" w:color="000000" w:sz="6" w:space="0"/>
            </w:tcBorders>
            <w:noWrap w:val="0"/>
            <w:vAlign w:val="center"/>
          </w:tcPr>
          <w:p w14:paraId="33445B35">
            <w:pPr>
              <w:widowControl/>
              <w:spacing w:line="360" w:lineRule="exact"/>
              <w:jc w:val="left"/>
              <w:rPr>
                <w:rFonts w:hint="eastAsia" w:ascii="黑体" w:hAnsi="黑体" w:eastAsia="黑体" w:cs="黑体"/>
                <w:b w:val="0"/>
                <w:bCs w:val="0"/>
                <w:kern w:val="0"/>
                <w:sz w:val="20"/>
                <w:szCs w:val="20"/>
                <w:lang w:val="en-US" w:eastAsia="zh-CN" w:bidi="ar-SA"/>
              </w:rPr>
            </w:pPr>
          </w:p>
        </w:tc>
      </w:tr>
      <w:tr w14:paraId="2DD30E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43" w:type="dxa"/>
            <w:tcBorders>
              <w:top w:val="single" w:color="000000" w:sz="6" w:space="0"/>
              <w:left w:val="single" w:color="000000" w:sz="6" w:space="0"/>
              <w:bottom w:val="single" w:color="000000" w:sz="6" w:space="0"/>
              <w:right w:val="single" w:color="000000" w:sz="6" w:space="0"/>
            </w:tcBorders>
            <w:noWrap w:val="0"/>
            <w:vAlign w:val="center"/>
          </w:tcPr>
          <w:p w14:paraId="1F70F3C2">
            <w:pPr>
              <w:widowControl/>
              <w:spacing w:before="0" w:beforeAutospacing="0" w:after="0" w:afterAutospacing="0" w:line="360" w:lineRule="exact"/>
              <w:jc w:val="center"/>
              <w:rPr>
                <w:rFonts w:hint="eastAsia" w:ascii="黑体" w:hAnsi="黑体" w:eastAsia="黑体" w:cs="黑体"/>
                <w:b w:val="0"/>
                <w:bCs w:val="0"/>
                <w:kern w:val="0"/>
                <w:sz w:val="20"/>
                <w:szCs w:val="20"/>
                <w:lang w:val="en-US" w:eastAsia="zh-CN" w:bidi="ar-SA"/>
              </w:rPr>
            </w:pPr>
            <w:r>
              <w:rPr>
                <w:rFonts w:hint="eastAsia" w:ascii="黑体" w:hAnsi="黑体" w:eastAsia="黑体" w:cs="黑体"/>
                <w:b w:val="0"/>
                <w:bCs w:val="0"/>
                <w:kern w:val="2"/>
                <w:sz w:val="20"/>
                <w:szCs w:val="20"/>
                <w:lang w:bidi="ar-SA"/>
              </w:rPr>
              <w:t>佐证材料（百度网盘链接及提取码）</w:t>
            </w:r>
          </w:p>
        </w:tc>
        <w:tc>
          <w:tcPr>
            <w:tcW w:w="6997" w:type="dxa"/>
            <w:gridSpan w:val="3"/>
            <w:tcBorders>
              <w:top w:val="single" w:color="000000" w:sz="6" w:space="0"/>
              <w:left w:val="single" w:color="000000" w:sz="6" w:space="0"/>
              <w:bottom w:val="single" w:color="000000" w:sz="6" w:space="0"/>
              <w:right w:val="single" w:color="000000" w:sz="6" w:space="0"/>
            </w:tcBorders>
            <w:noWrap w:val="0"/>
            <w:vAlign w:val="center"/>
          </w:tcPr>
          <w:p w14:paraId="05D46D01">
            <w:pPr>
              <w:widowControl/>
              <w:spacing w:line="360" w:lineRule="exact"/>
              <w:jc w:val="center"/>
              <w:rPr>
                <w:rFonts w:hint="eastAsia" w:ascii="黑体" w:hAnsi="黑体" w:eastAsia="黑体" w:cs="黑体"/>
                <w:b w:val="0"/>
                <w:bCs w:val="0"/>
                <w:kern w:val="0"/>
                <w:sz w:val="20"/>
                <w:szCs w:val="20"/>
                <w:lang w:val="en-US" w:eastAsia="zh-CN" w:bidi="ar-SA"/>
              </w:rPr>
            </w:pPr>
          </w:p>
          <w:p w14:paraId="6FD4C46C">
            <w:pPr>
              <w:widowControl/>
              <w:spacing w:line="360" w:lineRule="exact"/>
              <w:jc w:val="left"/>
              <w:rPr>
                <w:rFonts w:hint="eastAsia" w:ascii="黑体" w:hAnsi="黑体" w:eastAsia="黑体" w:cs="黑体"/>
                <w:b w:val="0"/>
                <w:bCs w:val="0"/>
                <w:kern w:val="0"/>
                <w:sz w:val="20"/>
                <w:szCs w:val="20"/>
                <w:lang w:val="en-US" w:eastAsia="zh-CN" w:bidi="ar-SA"/>
              </w:rPr>
            </w:pPr>
          </w:p>
        </w:tc>
      </w:tr>
      <w:tr w14:paraId="026495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93" w:hRule="atLeast"/>
        </w:trPr>
        <w:tc>
          <w:tcPr>
            <w:tcW w:w="2243" w:type="dxa"/>
            <w:tcBorders>
              <w:top w:val="single" w:color="000000" w:sz="6" w:space="0"/>
              <w:left w:val="single" w:color="000000" w:sz="6" w:space="0"/>
              <w:right w:val="single" w:color="000000" w:sz="6" w:space="0"/>
            </w:tcBorders>
            <w:noWrap w:val="0"/>
            <w:vAlign w:val="center"/>
          </w:tcPr>
          <w:p w14:paraId="0AC4418B">
            <w:pPr>
              <w:widowControl/>
              <w:spacing w:before="0" w:beforeAutospacing="0" w:after="0" w:afterAutospacing="0" w:line="360" w:lineRule="exact"/>
              <w:jc w:val="center"/>
              <w:rPr>
                <w:rFonts w:hint="eastAsia" w:ascii="黑体" w:hAnsi="黑体" w:eastAsia="黑体" w:cs="黑体"/>
                <w:sz w:val="20"/>
                <w:szCs w:val="20"/>
              </w:rPr>
            </w:pPr>
            <w:r>
              <w:rPr>
                <w:rFonts w:hint="eastAsia" w:ascii="黑体" w:hAnsi="黑体" w:eastAsia="黑体" w:cs="黑体"/>
                <w:sz w:val="20"/>
                <w:szCs w:val="20"/>
              </w:rPr>
              <w:t>获奖说明：</w:t>
            </w:r>
          </w:p>
          <w:p w14:paraId="58806F82">
            <w:pPr>
              <w:widowControl/>
              <w:spacing w:before="0" w:beforeAutospacing="0" w:after="0" w:afterAutospacing="0" w:line="360" w:lineRule="exact"/>
              <w:jc w:val="center"/>
              <w:rPr>
                <w:rFonts w:hint="eastAsia" w:ascii="黑体" w:hAnsi="黑体" w:eastAsia="黑体" w:cs="黑体"/>
                <w:b w:val="0"/>
                <w:bCs w:val="0"/>
                <w:kern w:val="2"/>
                <w:sz w:val="20"/>
                <w:szCs w:val="20"/>
                <w:lang w:val="en-US" w:eastAsia="zh-CN"/>
              </w:rPr>
            </w:pPr>
            <w:r>
              <w:rPr>
                <w:rFonts w:hint="eastAsia" w:ascii="黑体" w:hAnsi="黑体" w:eastAsia="黑体" w:cs="黑体"/>
                <w:sz w:val="20"/>
                <w:szCs w:val="20"/>
              </w:rPr>
              <w:t>若案例在同类征集评选活动中已获得区级以上奖励</w:t>
            </w:r>
            <w:r>
              <w:rPr>
                <w:rFonts w:hint="eastAsia" w:ascii="黑体" w:hAnsi="黑体" w:eastAsia="黑体" w:cs="黑体"/>
                <w:sz w:val="20"/>
                <w:szCs w:val="20"/>
                <w:lang w:val="en-US" w:eastAsia="zh-CN"/>
              </w:rPr>
              <w:t>情况</w:t>
            </w:r>
          </w:p>
        </w:tc>
        <w:tc>
          <w:tcPr>
            <w:tcW w:w="6997" w:type="dxa"/>
            <w:gridSpan w:val="3"/>
            <w:tcBorders>
              <w:top w:val="single" w:color="000000" w:sz="6" w:space="0"/>
              <w:left w:val="single" w:color="000000" w:sz="6" w:space="0"/>
              <w:bottom w:val="single" w:color="000000" w:sz="6" w:space="0"/>
              <w:right w:val="single" w:color="000000" w:sz="6" w:space="0"/>
            </w:tcBorders>
            <w:noWrap w:val="0"/>
            <w:vAlign w:val="center"/>
          </w:tcPr>
          <w:p w14:paraId="659FCFE5">
            <w:pPr>
              <w:widowControl/>
              <w:spacing w:line="360" w:lineRule="exact"/>
              <w:jc w:val="left"/>
              <w:rPr>
                <w:rFonts w:hint="eastAsia" w:ascii="黑体" w:hAnsi="黑体" w:eastAsia="黑体" w:cs="黑体"/>
                <w:b w:val="0"/>
                <w:bCs w:val="0"/>
                <w:kern w:val="0"/>
                <w:sz w:val="20"/>
                <w:szCs w:val="20"/>
                <w:lang w:val="en-US" w:eastAsia="zh-CN" w:bidi="ar-SA"/>
              </w:rPr>
            </w:pPr>
          </w:p>
        </w:tc>
      </w:tr>
      <w:tr w14:paraId="738778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21" w:hRule="atLeast"/>
        </w:trPr>
        <w:tc>
          <w:tcPr>
            <w:tcW w:w="2243" w:type="dxa"/>
            <w:tcBorders>
              <w:top w:val="single" w:color="000000" w:sz="6" w:space="0"/>
              <w:left w:val="single" w:color="000000" w:sz="6" w:space="0"/>
              <w:right w:val="single" w:color="000000" w:sz="6" w:space="0"/>
            </w:tcBorders>
            <w:noWrap w:val="0"/>
            <w:vAlign w:val="center"/>
          </w:tcPr>
          <w:p w14:paraId="795122B7">
            <w:pPr>
              <w:widowControl/>
              <w:spacing w:before="0" w:beforeAutospacing="0" w:after="0" w:afterAutospacing="0" w:line="360" w:lineRule="exact"/>
              <w:jc w:val="center"/>
              <w:rPr>
                <w:rFonts w:hint="eastAsia" w:ascii="黑体" w:hAnsi="黑体" w:eastAsia="黑体" w:cs="黑体"/>
                <w:b w:val="0"/>
                <w:bCs w:val="0"/>
                <w:kern w:val="2"/>
                <w:sz w:val="20"/>
                <w:szCs w:val="20"/>
                <w:lang w:val="en-US" w:eastAsia="zh-CN"/>
              </w:rPr>
            </w:pPr>
            <w:r>
              <w:rPr>
                <w:rFonts w:hint="eastAsia" w:ascii="黑体" w:hAnsi="黑体" w:eastAsia="黑体" w:cs="黑体"/>
                <w:b w:val="0"/>
                <w:bCs w:val="0"/>
                <w:kern w:val="2"/>
                <w:sz w:val="20"/>
                <w:szCs w:val="20"/>
                <w:lang w:val="en-US" w:eastAsia="zh-CN"/>
              </w:rPr>
              <w:t>案例摘要</w:t>
            </w:r>
          </w:p>
          <w:p w14:paraId="37034AE4">
            <w:pPr>
              <w:widowControl/>
              <w:spacing w:before="0" w:beforeAutospacing="0" w:after="0" w:afterAutospacing="0" w:line="360" w:lineRule="exact"/>
              <w:jc w:val="center"/>
              <w:rPr>
                <w:rFonts w:hint="eastAsia" w:ascii="黑体" w:hAnsi="黑体" w:eastAsia="黑体" w:cs="黑体"/>
                <w:b w:val="0"/>
                <w:bCs w:val="0"/>
                <w:kern w:val="2"/>
                <w:sz w:val="20"/>
                <w:szCs w:val="20"/>
                <w:lang w:val="en-US" w:eastAsia="zh-CN"/>
              </w:rPr>
            </w:pPr>
            <w:r>
              <w:rPr>
                <w:rFonts w:hint="eastAsia" w:ascii="黑体" w:hAnsi="黑体" w:eastAsia="黑体" w:cs="黑体"/>
                <w:b w:val="0"/>
                <w:bCs w:val="0"/>
                <w:kern w:val="2"/>
                <w:sz w:val="20"/>
                <w:szCs w:val="20"/>
                <w:lang w:val="en-US" w:eastAsia="zh-CN"/>
              </w:rPr>
              <w:t>（500字以内）</w:t>
            </w:r>
          </w:p>
        </w:tc>
        <w:tc>
          <w:tcPr>
            <w:tcW w:w="6997" w:type="dxa"/>
            <w:gridSpan w:val="3"/>
            <w:tcBorders>
              <w:top w:val="single" w:color="000000" w:sz="6" w:space="0"/>
              <w:left w:val="single" w:color="000000" w:sz="6" w:space="0"/>
              <w:bottom w:val="single" w:color="000000" w:sz="6" w:space="0"/>
              <w:right w:val="single" w:color="000000" w:sz="6" w:space="0"/>
            </w:tcBorders>
            <w:noWrap w:val="0"/>
            <w:vAlign w:val="center"/>
          </w:tcPr>
          <w:p w14:paraId="16BAE323">
            <w:pPr>
              <w:widowControl/>
              <w:spacing w:line="360" w:lineRule="exact"/>
              <w:jc w:val="left"/>
              <w:rPr>
                <w:rFonts w:hint="eastAsia" w:ascii="黑体" w:hAnsi="黑体" w:eastAsia="黑体" w:cs="黑体"/>
                <w:b w:val="0"/>
                <w:bCs w:val="0"/>
                <w:kern w:val="0"/>
                <w:sz w:val="20"/>
                <w:szCs w:val="20"/>
                <w:lang w:val="en-US" w:eastAsia="zh-CN" w:bidi="ar-SA"/>
              </w:rPr>
            </w:pPr>
          </w:p>
        </w:tc>
      </w:tr>
      <w:tr w14:paraId="16AA8E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08" w:hRule="atLeast"/>
        </w:trPr>
        <w:tc>
          <w:tcPr>
            <w:tcW w:w="2243" w:type="dxa"/>
            <w:tcBorders>
              <w:top w:val="single" w:color="000000" w:sz="6" w:space="0"/>
              <w:left w:val="single" w:color="000000" w:sz="6" w:space="0"/>
              <w:bottom w:val="single" w:color="000000" w:sz="6" w:space="0"/>
              <w:right w:val="single" w:color="000000" w:sz="6" w:space="0"/>
            </w:tcBorders>
            <w:noWrap w:val="0"/>
            <w:vAlign w:val="center"/>
          </w:tcPr>
          <w:p w14:paraId="23B5B5A6">
            <w:pPr>
              <w:widowControl/>
              <w:spacing w:before="100" w:beforeAutospacing="1" w:after="100" w:afterAutospacing="1" w:line="360" w:lineRule="exact"/>
              <w:jc w:val="center"/>
              <w:rPr>
                <w:rFonts w:hint="eastAsia" w:ascii="黑体" w:hAnsi="黑体" w:eastAsia="黑体" w:cs="黑体"/>
                <w:b w:val="0"/>
                <w:bCs w:val="0"/>
                <w:kern w:val="2"/>
                <w:sz w:val="20"/>
                <w:szCs w:val="20"/>
              </w:rPr>
            </w:pPr>
            <w:r>
              <w:rPr>
                <w:rFonts w:hint="eastAsia" w:ascii="黑体" w:hAnsi="黑体" w:eastAsia="黑体" w:cs="黑体"/>
                <w:b w:val="0"/>
                <w:bCs w:val="0"/>
                <w:kern w:val="2"/>
                <w:sz w:val="20"/>
                <w:szCs w:val="20"/>
              </w:rPr>
              <w:t>学校</w:t>
            </w:r>
            <w:r>
              <w:rPr>
                <w:rFonts w:hint="eastAsia" w:ascii="黑体" w:hAnsi="黑体" w:eastAsia="黑体" w:cs="黑体"/>
                <w:b w:val="0"/>
                <w:bCs w:val="0"/>
                <w:kern w:val="2"/>
                <w:sz w:val="20"/>
                <w:szCs w:val="20"/>
                <w:lang w:val="en-US" w:eastAsia="zh-CN"/>
              </w:rPr>
              <w:t>/单位</w:t>
            </w:r>
          </w:p>
          <w:p w14:paraId="0C319D6C">
            <w:pPr>
              <w:widowControl/>
              <w:spacing w:before="100" w:beforeAutospacing="1" w:after="100" w:afterAutospacing="1" w:line="360" w:lineRule="exact"/>
              <w:jc w:val="center"/>
              <w:rPr>
                <w:rFonts w:hint="eastAsia" w:ascii="黑体" w:hAnsi="黑体" w:eastAsia="黑体" w:cs="黑体"/>
                <w:b w:val="0"/>
                <w:bCs w:val="0"/>
                <w:kern w:val="0"/>
                <w:sz w:val="20"/>
                <w:szCs w:val="20"/>
              </w:rPr>
            </w:pPr>
            <w:r>
              <w:rPr>
                <w:rFonts w:hint="eastAsia" w:ascii="黑体" w:hAnsi="黑体" w:eastAsia="黑体" w:cs="黑体"/>
                <w:b w:val="0"/>
                <w:bCs w:val="0"/>
                <w:kern w:val="2"/>
                <w:sz w:val="20"/>
                <w:szCs w:val="20"/>
              </w:rPr>
              <w:t>意见</w:t>
            </w:r>
          </w:p>
        </w:tc>
        <w:tc>
          <w:tcPr>
            <w:tcW w:w="6997" w:type="dxa"/>
            <w:gridSpan w:val="3"/>
            <w:tcBorders>
              <w:top w:val="single" w:color="000000" w:sz="6" w:space="0"/>
              <w:left w:val="single" w:color="000000" w:sz="6" w:space="0"/>
              <w:bottom w:val="single" w:color="000000" w:sz="6" w:space="0"/>
              <w:right w:val="single" w:color="000000" w:sz="6" w:space="0"/>
            </w:tcBorders>
            <w:noWrap w:val="0"/>
            <w:vAlign w:val="center"/>
          </w:tcPr>
          <w:p w14:paraId="505B685B">
            <w:pPr>
              <w:widowControl/>
              <w:tabs>
                <w:tab w:val="left" w:pos="675"/>
              </w:tabs>
              <w:spacing w:before="100" w:beforeAutospacing="1" w:after="100" w:afterAutospacing="1" w:line="360" w:lineRule="exact"/>
              <w:jc w:val="left"/>
              <w:rPr>
                <w:rFonts w:hint="eastAsia" w:ascii="黑体" w:hAnsi="黑体" w:eastAsia="黑体" w:cs="黑体"/>
                <w:b w:val="0"/>
                <w:bCs w:val="0"/>
                <w:kern w:val="0"/>
                <w:sz w:val="20"/>
                <w:szCs w:val="20"/>
              </w:rPr>
            </w:pPr>
          </w:p>
          <w:p w14:paraId="0A3B6D41">
            <w:pPr>
              <w:widowControl/>
              <w:tabs>
                <w:tab w:val="left" w:pos="675"/>
              </w:tabs>
              <w:spacing w:before="100" w:beforeAutospacing="1" w:after="100" w:afterAutospacing="1" w:line="360" w:lineRule="exact"/>
              <w:ind w:firstLine="0" w:firstLineChars="0"/>
              <w:jc w:val="right"/>
              <w:rPr>
                <w:rFonts w:hint="eastAsia" w:ascii="黑体" w:hAnsi="黑体" w:eastAsia="黑体" w:cs="黑体"/>
                <w:b w:val="0"/>
                <w:bCs w:val="0"/>
                <w:kern w:val="0"/>
                <w:sz w:val="20"/>
                <w:szCs w:val="20"/>
              </w:rPr>
            </w:pPr>
            <w:r>
              <w:rPr>
                <w:rFonts w:hint="eastAsia" w:ascii="黑体" w:hAnsi="黑体" w:eastAsia="黑体" w:cs="黑体"/>
                <w:b w:val="0"/>
                <w:bCs w:val="0"/>
                <w:kern w:val="2"/>
                <w:sz w:val="20"/>
                <w:szCs w:val="20"/>
              </w:rPr>
              <w:t>（盖章）</w:t>
            </w:r>
          </w:p>
          <w:p w14:paraId="2842DB2C">
            <w:pPr>
              <w:widowControl/>
              <w:tabs>
                <w:tab w:val="left" w:pos="675"/>
              </w:tabs>
              <w:spacing w:before="100" w:beforeAutospacing="1" w:after="100" w:afterAutospacing="1" w:line="360" w:lineRule="exact"/>
              <w:jc w:val="right"/>
              <w:rPr>
                <w:rFonts w:hint="eastAsia" w:ascii="黑体" w:hAnsi="黑体" w:eastAsia="黑体" w:cs="黑体"/>
                <w:b w:val="0"/>
                <w:bCs w:val="0"/>
                <w:kern w:val="0"/>
                <w:sz w:val="20"/>
                <w:szCs w:val="20"/>
              </w:rPr>
            </w:pPr>
            <w:r>
              <w:rPr>
                <w:rFonts w:hint="eastAsia" w:ascii="黑体" w:hAnsi="黑体" w:eastAsia="黑体" w:cs="黑体"/>
                <w:b w:val="0"/>
                <w:bCs w:val="0"/>
                <w:kern w:val="2"/>
                <w:sz w:val="20"/>
                <w:szCs w:val="20"/>
                <w:lang w:val="en-US" w:eastAsia="zh-CN"/>
              </w:rPr>
              <w:t xml:space="preserve"> </w:t>
            </w:r>
            <w:r>
              <w:rPr>
                <w:rFonts w:hint="eastAsia" w:ascii="黑体" w:hAnsi="黑体" w:eastAsia="黑体" w:cs="黑体"/>
                <w:b w:val="0"/>
                <w:bCs w:val="0"/>
                <w:kern w:val="2"/>
                <w:sz w:val="20"/>
                <w:szCs w:val="20"/>
              </w:rPr>
              <w:t>年   月   日</w:t>
            </w:r>
          </w:p>
        </w:tc>
      </w:tr>
    </w:tbl>
    <w:p w14:paraId="4D766D52">
      <w:pPr>
        <w:spacing w:line="560" w:lineRule="exact"/>
        <w:ind w:firstLine="0" w:firstLineChars="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附件</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w:t>
      </w:r>
    </w:p>
    <w:p w14:paraId="15470249">
      <w:pPr>
        <w:ind w:firstLine="0" w:firstLineChars="0"/>
        <w:jc w:val="center"/>
        <w:rPr>
          <w:rFonts w:hint="eastAsia" w:ascii="华文中宋" w:hAnsi="华文中宋" w:eastAsia="华文中宋" w:cs="华文中宋"/>
          <w:b/>
          <w:color w:val="000000"/>
          <w:kern w:val="0"/>
          <w:sz w:val="36"/>
          <w:szCs w:val="36"/>
          <w:lang w:val="en-US" w:eastAsia="zh-CN"/>
        </w:rPr>
      </w:pPr>
      <w:r>
        <w:rPr>
          <w:rFonts w:hint="eastAsia" w:ascii="华文中宋" w:hAnsi="华文中宋" w:eastAsia="华文中宋" w:cs="华文中宋"/>
          <w:b/>
          <w:bCs w:val="0"/>
          <w:color w:val="000000"/>
          <w:kern w:val="0"/>
          <w:sz w:val="36"/>
          <w:szCs w:val="36"/>
          <w:lang w:val="en-US" w:eastAsia="zh-CN"/>
        </w:rPr>
        <w:t>上海市学生健康素养提升案例书写规范</w:t>
      </w:r>
    </w:p>
    <w:p w14:paraId="64FA0826">
      <w:pPr>
        <w:spacing w:line="299" w:lineRule="auto"/>
        <w:rPr>
          <w:rFonts w:ascii="Arial"/>
          <w:sz w:val="21"/>
        </w:rPr>
      </w:pPr>
    </w:p>
    <w:p w14:paraId="1DFFE78A">
      <w:pPr>
        <w:spacing w:before="0" w:line="560" w:lineRule="exact"/>
        <w:ind w:left="0" w:firstLine="560" w:firstLineChars="200"/>
        <w:rPr>
          <w:rFonts w:hint="eastAsia" w:ascii="黑体" w:hAnsi="黑体" w:eastAsia="黑体" w:cs="黑体"/>
          <w:sz w:val="28"/>
          <w:szCs w:val="28"/>
        </w:rPr>
      </w:pPr>
      <w:r>
        <w:rPr>
          <w:rFonts w:hint="eastAsia" w:ascii="黑体" w:hAnsi="黑体" w:eastAsia="黑体" w:cs="黑体"/>
          <w:spacing w:val="0"/>
          <w:sz w:val="28"/>
          <w:szCs w:val="28"/>
        </w:rPr>
        <w:t>一、案例结构</w:t>
      </w:r>
    </w:p>
    <w:p w14:paraId="34827E7E">
      <w:pPr>
        <w:pStyle w:val="3"/>
        <w:spacing w:before="0" w:line="560" w:lineRule="exact"/>
        <w:ind w:left="627"/>
        <w:outlineLvl w:val="1"/>
        <w:rPr>
          <w:rFonts w:hint="eastAsia" w:ascii="楷体" w:hAnsi="楷体" w:eastAsia="楷体" w:cs="楷体"/>
          <w:b w:val="0"/>
          <w:bCs w:val="0"/>
          <w:color w:val="auto"/>
          <w:sz w:val="28"/>
          <w:szCs w:val="28"/>
          <w:lang w:eastAsia="zh-CN"/>
        </w:rPr>
      </w:pPr>
      <w:r>
        <w:rPr>
          <w:rFonts w:hint="eastAsia" w:ascii="楷体" w:hAnsi="楷体" w:eastAsia="楷体" w:cs="楷体"/>
          <w:b w:val="0"/>
          <w:bCs w:val="0"/>
          <w:color w:val="auto"/>
          <w:spacing w:val="0"/>
          <w:sz w:val="28"/>
          <w:szCs w:val="28"/>
          <w:lang w:eastAsia="zh-CN"/>
        </w:rPr>
        <w:t>（一）案例背景</w:t>
      </w:r>
    </w:p>
    <w:p w14:paraId="7CECE1C2">
      <w:pPr>
        <w:pStyle w:val="3"/>
        <w:spacing w:before="0" w:line="560" w:lineRule="exact"/>
        <w:ind w:left="5" w:right="97" w:firstLine="640"/>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0"/>
          <w:sz w:val="28"/>
          <w:szCs w:val="28"/>
          <w:lang w:eastAsia="zh-CN"/>
        </w:rPr>
        <w:t>简要介绍案例相关的工作背景、涉及的单位基本情况、实施案例的必要性，需要解决的关键问题等。</w:t>
      </w:r>
    </w:p>
    <w:p w14:paraId="6AAAF00A">
      <w:pPr>
        <w:pStyle w:val="3"/>
        <w:spacing w:before="0" w:line="560" w:lineRule="exact"/>
        <w:ind w:left="627"/>
        <w:outlineLvl w:val="1"/>
        <w:rPr>
          <w:rFonts w:hint="eastAsia" w:ascii="楷体" w:hAnsi="楷体" w:eastAsia="楷体" w:cs="楷体"/>
          <w:b w:val="0"/>
          <w:bCs w:val="0"/>
          <w:color w:val="auto"/>
          <w:spacing w:val="0"/>
          <w:sz w:val="28"/>
          <w:szCs w:val="28"/>
          <w:lang w:eastAsia="zh-CN"/>
        </w:rPr>
      </w:pPr>
      <w:r>
        <w:rPr>
          <w:rFonts w:hint="eastAsia" w:ascii="楷体" w:hAnsi="楷体" w:eastAsia="楷体" w:cs="楷体"/>
          <w:b w:val="0"/>
          <w:bCs w:val="0"/>
          <w:color w:val="auto"/>
          <w:spacing w:val="0"/>
          <w:sz w:val="28"/>
          <w:szCs w:val="28"/>
          <w:lang w:eastAsia="zh-CN"/>
        </w:rPr>
        <w:t>（二）主要做法</w:t>
      </w:r>
    </w:p>
    <w:p w14:paraId="7B9A43A9">
      <w:pPr>
        <w:pStyle w:val="3"/>
        <w:spacing w:before="0" w:line="560" w:lineRule="exact"/>
        <w:ind w:left="5" w:right="97" w:firstLine="64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0"/>
          <w:sz w:val="28"/>
          <w:szCs w:val="28"/>
          <w:lang w:eastAsia="zh-CN"/>
        </w:rPr>
        <w:t>根据案例类型，围绕学校卫生工作核心内容，坚持问题导向和需求导向，总结凝练相关创新举措、管理机制和服务模式等，系统说明典型做法与有效路径。</w:t>
      </w:r>
    </w:p>
    <w:p w14:paraId="5A46FF4B">
      <w:pPr>
        <w:pStyle w:val="3"/>
        <w:spacing w:before="0" w:line="560" w:lineRule="exact"/>
        <w:ind w:left="627"/>
        <w:outlineLvl w:val="1"/>
        <w:rPr>
          <w:rFonts w:hint="eastAsia" w:ascii="仿宋_GB2312" w:hAnsi="仿宋_GB2312" w:eastAsia="仿宋_GB2312" w:cs="仿宋_GB2312"/>
          <w:b w:val="0"/>
          <w:bCs w:val="0"/>
          <w:color w:val="auto"/>
          <w:spacing w:val="0"/>
          <w:sz w:val="28"/>
          <w:szCs w:val="28"/>
          <w:lang w:eastAsia="zh-CN"/>
        </w:rPr>
      </w:pPr>
      <w:r>
        <w:rPr>
          <w:rFonts w:hint="eastAsia" w:ascii="楷体" w:hAnsi="楷体" w:eastAsia="楷体" w:cs="楷体"/>
          <w:b w:val="0"/>
          <w:bCs w:val="0"/>
          <w:color w:val="auto"/>
          <w:spacing w:val="0"/>
          <w:sz w:val="28"/>
          <w:szCs w:val="28"/>
          <w:lang w:eastAsia="zh-CN"/>
        </w:rPr>
        <w:t>（三）案例效果</w:t>
      </w:r>
    </w:p>
    <w:p w14:paraId="381577D0">
      <w:pPr>
        <w:pStyle w:val="3"/>
        <w:spacing w:before="0" w:line="560" w:lineRule="exact"/>
        <w:ind w:left="5" w:right="97" w:firstLine="640" w:firstLineChars="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0"/>
          <w:sz w:val="28"/>
          <w:szCs w:val="28"/>
          <w:lang w:eastAsia="zh-CN"/>
        </w:rPr>
        <w:t>通过</w:t>
      </w:r>
      <w:r>
        <w:rPr>
          <w:rFonts w:hint="eastAsia" w:ascii="仿宋_GB2312" w:hAnsi="仿宋_GB2312" w:eastAsia="仿宋_GB2312" w:cs="仿宋_GB2312"/>
          <w:spacing w:val="0"/>
          <w:sz w:val="28"/>
          <w:szCs w:val="28"/>
          <w:lang w:val="en-US" w:eastAsia="zh-CN"/>
        </w:rPr>
        <w:t>详</w:t>
      </w:r>
      <w:r>
        <w:rPr>
          <w:rFonts w:hint="eastAsia" w:ascii="仿宋_GB2312" w:hAnsi="仿宋_GB2312" w:eastAsia="仿宋_GB2312" w:cs="仿宋_GB2312"/>
          <w:spacing w:val="0"/>
          <w:sz w:val="28"/>
          <w:szCs w:val="28"/>
          <w:lang w:eastAsia="zh-CN"/>
        </w:rPr>
        <w:t>实的实例与数据，说明案例取得的具体成效。</w:t>
      </w:r>
    </w:p>
    <w:p w14:paraId="20EC0BD9">
      <w:pPr>
        <w:pStyle w:val="3"/>
        <w:spacing w:before="0" w:line="560" w:lineRule="exact"/>
        <w:ind w:left="627"/>
        <w:outlineLvl w:val="1"/>
        <w:rPr>
          <w:rFonts w:hint="eastAsia" w:ascii="仿宋_GB2312" w:hAnsi="仿宋_GB2312" w:eastAsia="仿宋_GB2312" w:cs="仿宋_GB2312"/>
          <w:b w:val="0"/>
          <w:bCs w:val="0"/>
          <w:color w:val="auto"/>
          <w:spacing w:val="0"/>
          <w:sz w:val="28"/>
          <w:szCs w:val="28"/>
          <w:lang w:eastAsia="zh-CN"/>
        </w:rPr>
      </w:pPr>
      <w:r>
        <w:rPr>
          <w:rFonts w:hint="eastAsia" w:ascii="楷体" w:hAnsi="楷体" w:eastAsia="楷体" w:cs="楷体"/>
          <w:b w:val="0"/>
          <w:bCs w:val="0"/>
          <w:color w:val="auto"/>
          <w:spacing w:val="0"/>
          <w:sz w:val="28"/>
          <w:szCs w:val="28"/>
          <w:lang w:eastAsia="zh-CN"/>
        </w:rPr>
        <w:t>（四）典型意义</w:t>
      </w:r>
    </w:p>
    <w:p w14:paraId="121B16D1">
      <w:pPr>
        <w:pStyle w:val="3"/>
        <w:spacing w:before="0" w:line="560" w:lineRule="exact"/>
        <w:ind w:left="5" w:right="97" w:firstLine="640"/>
        <w:jc w:val="left"/>
        <w:rPr>
          <w:rFonts w:hint="eastAsia" w:ascii="仿宋" w:hAnsi="仿宋" w:eastAsia="仿宋" w:cs="仿宋"/>
          <w:spacing w:val="7"/>
          <w:sz w:val="32"/>
          <w:szCs w:val="32"/>
        </w:rPr>
      </w:pPr>
      <w:r>
        <w:rPr>
          <w:rFonts w:hint="eastAsia" w:ascii="仿宋_GB2312" w:hAnsi="仿宋_GB2312" w:eastAsia="仿宋_GB2312" w:cs="仿宋_GB2312"/>
          <w:spacing w:val="0"/>
          <w:sz w:val="28"/>
          <w:szCs w:val="28"/>
          <w:lang w:eastAsia="zh-CN"/>
        </w:rPr>
        <w:t>对案例的创新点与示范价值进行分析，就下一步如何深化完善提出思路，为其他地区</w:t>
      </w:r>
      <w:r>
        <w:rPr>
          <w:rFonts w:hint="eastAsia" w:ascii="仿宋_GB2312" w:hAnsi="仿宋_GB2312" w:eastAsia="仿宋_GB2312" w:cs="仿宋_GB2312"/>
          <w:spacing w:val="0"/>
          <w:sz w:val="28"/>
          <w:szCs w:val="28"/>
          <w:lang w:val="en-US" w:eastAsia="zh-CN"/>
        </w:rPr>
        <w:t>/学校</w:t>
      </w:r>
      <w:r>
        <w:rPr>
          <w:rFonts w:hint="eastAsia" w:ascii="仿宋_GB2312" w:hAnsi="仿宋_GB2312" w:eastAsia="仿宋_GB2312" w:cs="仿宋_GB2312"/>
          <w:spacing w:val="0"/>
          <w:sz w:val="28"/>
          <w:szCs w:val="28"/>
          <w:lang w:eastAsia="zh-CN"/>
        </w:rPr>
        <w:t>开展工作提供启示和借鉴。</w:t>
      </w:r>
    </w:p>
    <w:p w14:paraId="4D408E94">
      <w:pPr>
        <w:spacing w:before="0" w:line="560" w:lineRule="exact"/>
        <w:ind w:left="0" w:firstLine="560" w:firstLineChars="200"/>
        <w:outlineLvl w:val="9"/>
        <w:rPr>
          <w:rFonts w:hint="eastAsia" w:ascii="黑体" w:hAnsi="黑体" w:eastAsia="黑体" w:cs="黑体"/>
          <w:sz w:val="28"/>
          <w:szCs w:val="28"/>
        </w:rPr>
      </w:pPr>
      <w:r>
        <w:rPr>
          <w:rFonts w:hint="eastAsia" w:ascii="黑体" w:hAnsi="黑体" w:eastAsia="黑体" w:cs="黑体"/>
          <w:spacing w:val="0"/>
          <w:sz w:val="28"/>
          <w:szCs w:val="28"/>
        </w:rPr>
        <w:t>二、案例格式</w:t>
      </w:r>
    </w:p>
    <w:p w14:paraId="19F65963">
      <w:pPr>
        <w:pStyle w:val="3"/>
        <w:spacing w:before="0" w:line="560" w:lineRule="exact"/>
        <w:ind w:left="627"/>
        <w:outlineLvl w:val="1"/>
        <w:rPr>
          <w:rFonts w:hint="eastAsia" w:ascii="楷体" w:hAnsi="楷体" w:eastAsia="楷体" w:cs="楷体"/>
          <w:b w:val="0"/>
          <w:bCs w:val="0"/>
          <w:color w:val="auto"/>
          <w:spacing w:val="0"/>
          <w:sz w:val="28"/>
          <w:szCs w:val="28"/>
          <w:lang w:eastAsia="zh-CN"/>
        </w:rPr>
      </w:pPr>
      <w:r>
        <w:rPr>
          <w:rFonts w:hint="eastAsia" w:ascii="楷体" w:hAnsi="楷体" w:eastAsia="楷体" w:cs="楷体"/>
          <w:b w:val="0"/>
          <w:bCs w:val="0"/>
          <w:color w:val="auto"/>
          <w:spacing w:val="0"/>
          <w:sz w:val="28"/>
          <w:szCs w:val="28"/>
          <w:lang w:eastAsia="zh-CN"/>
        </w:rPr>
        <w:t>（一）标题及正文</w:t>
      </w:r>
    </w:p>
    <w:p w14:paraId="57359DC3">
      <w:pPr>
        <w:pStyle w:val="3"/>
        <w:spacing w:before="0" w:line="560" w:lineRule="exact"/>
        <w:ind w:left="5" w:right="97" w:firstLine="640"/>
        <w:jc w:val="left"/>
        <w:rPr>
          <w:rFonts w:hint="eastAsia" w:ascii="仿宋_GB2312" w:hAnsi="仿宋_GB2312" w:eastAsia="仿宋_GB2312" w:cs="仿宋_GB2312"/>
          <w:spacing w:val="0"/>
          <w:sz w:val="28"/>
          <w:szCs w:val="28"/>
          <w:lang w:eastAsia="zh-CN"/>
        </w:rPr>
      </w:pPr>
      <w:r>
        <w:rPr>
          <w:rFonts w:hint="eastAsia" w:ascii="仿宋_GB2312" w:hAnsi="仿宋_GB2312" w:eastAsia="仿宋_GB2312" w:cs="仿宋_GB2312"/>
          <w:sz w:val="28"/>
          <w:szCs w:val="28"/>
          <w:lang w:eastAsia="zh-CN"/>
        </w:rPr>
        <w:t>Word文件格式</w:t>
      </w:r>
      <w:r>
        <w:rPr>
          <w:rFonts w:hint="eastAsia" w:ascii="仿宋_GB2312" w:hAnsi="仿宋_GB2312" w:eastAsia="仿宋_GB2312" w:cs="仿宋_GB2312"/>
          <w:spacing w:val="0"/>
          <w:sz w:val="28"/>
          <w:szCs w:val="28"/>
          <w:lang w:eastAsia="zh-CN"/>
        </w:rPr>
        <w:t>，采用 A4 幅面编辑。全文行距固定值 28磅，字距为默认标准，</w:t>
      </w:r>
      <w:r>
        <w:rPr>
          <w:rFonts w:hint="eastAsia" w:ascii="仿宋_GB2312" w:hAnsi="仿宋_GB2312" w:eastAsia="仿宋_GB2312" w:cs="仿宋_GB2312"/>
          <w:spacing w:val="0"/>
          <w:sz w:val="28"/>
          <w:szCs w:val="28"/>
          <w:lang w:val="en-US" w:eastAsia="zh-CN"/>
        </w:rPr>
        <w:t>段前空2格</w:t>
      </w:r>
      <w:r>
        <w:rPr>
          <w:rFonts w:hint="eastAsia" w:ascii="仿宋_GB2312" w:hAnsi="仿宋_GB2312" w:eastAsia="仿宋_GB2312" w:cs="仿宋_GB2312"/>
          <w:spacing w:val="0"/>
          <w:sz w:val="28"/>
          <w:szCs w:val="28"/>
          <w:lang w:eastAsia="zh-CN"/>
        </w:rPr>
        <w:t>。</w:t>
      </w:r>
    </w:p>
    <w:p w14:paraId="3F7C26ED">
      <w:pPr>
        <w:pStyle w:val="3"/>
        <w:spacing w:before="0" w:line="560" w:lineRule="exact"/>
        <w:ind w:left="5" w:right="97" w:firstLine="640"/>
        <w:jc w:val="left"/>
        <w:rPr>
          <w:rFonts w:hint="eastAsia" w:ascii="仿宋_GB2312" w:hAnsi="仿宋_GB2312" w:eastAsia="仿宋_GB2312" w:cs="仿宋_GB2312"/>
          <w:spacing w:val="0"/>
          <w:sz w:val="28"/>
          <w:szCs w:val="28"/>
          <w:lang w:eastAsia="zh-CN"/>
        </w:rPr>
      </w:pPr>
      <w:r>
        <w:rPr>
          <w:rFonts w:hint="eastAsia" w:ascii="仿宋_GB2312" w:hAnsi="仿宋_GB2312" w:eastAsia="仿宋_GB2312" w:cs="仿宋_GB2312"/>
          <w:spacing w:val="0"/>
          <w:sz w:val="28"/>
          <w:szCs w:val="28"/>
          <w:lang w:eastAsia="zh-CN"/>
        </w:rPr>
        <w:t>标题：</w:t>
      </w:r>
      <w:r>
        <w:rPr>
          <w:rFonts w:hint="eastAsia" w:ascii="仿宋_GB2312" w:hAnsi="仿宋_GB2312" w:eastAsia="仿宋_GB2312" w:cs="仿宋_GB2312"/>
          <w:spacing w:val="0"/>
          <w:sz w:val="28"/>
          <w:szCs w:val="28"/>
          <w:lang w:val="en-US" w:eastAsia="zh-CN"/>
        </w:rPr>
        <w:t>小二号华文中宋，</w:t>
      </w:r>
      <w:r>
        <w:rPr>
          <w:rFonts w:hint="eastAsia" w:ascii="仿宋_GB2312" w:hAnsi="仿宋_GB2312" w:eastAsia="仿宋_GB2312" w:cs="仿宋_GB2312"/>
          <w:spacing w:val="0"/>
          <w:sz w:val="28"/>
          <w:szCs w:val="28"/>
          <w:lang w:eastAsia="zh-CN"/>
        </w:rPr>
        <w:t>居中；</w:t>
      </w:r>
    </w:p>
    <w:p w14:paraId="52B81EFF">
      <w:pPr>
        <w:pStyle w:val="3"/>
        <w:spacing w:before="0" w:line="560" w:lineRule="exact"/>
        <w:ind w:left="5" w:right="97" w:firstLine="640"/>
        <w:jc w:val="left"/>
        <w:rPr>
          <w:rFonts w:hint="eastAsia" w:ascii="仿宋_GB2312" w:hAnsi="仿宋_GB2312" w:eastAsia="仿宋_GB2312" w:cs="仿宋_GB2312"/>
          <w:spacing w:val="0"/>
          <w:sz w:val="28"/>
          <w:szCs w:val="28"/>
          <w:lang w:eastAsia="zh-CN"/>
        </w:rPr>
      </w:pPr>
      <w:r>
        <w:rPr>
          <w:rFonts w:hint="eastAsia" w:ascii="仿宋_GB2312" w:hAnsi="仿宋_GB2312" w:eastAsia="仿宋_GB2312" w:cs="仿宋_GB2312"/>
          <w:spacing w:val="0"/>
          <w:sz w:val="28"/>
          <w:szCs w:val="28"/>
          <w:lang w:eastAsia="zh-CN"/>
        </w:rPr>
        <w:t>一级标题：小三号黑体，加粗；</w:t>
      </w:r>
    </w:p>
    <w:p w14:paraId="0268FC9A">
      <w:pPr>
        <w:pStyle w:val="3"/>
        <w:spacing w:before="0" w:line="560" w:lineRule="exact"/>
        <w:ind w:left="5" w:right="97" w:firstLine="640"/>
        <w:jc w:val="left"/>
        <w:rPr>
          <w:rFonts w:hint="eastAsia" w:ascii="仿宋_GB2312" w:hAnsi="仿宋_GB2312" w:eastAsia="仿宋_GB2312" w:cs="仿宋_GB2312"/>
          <w:spacing w:val="0"/>
          <w:sz w:val="28"/>
          <w:szCs w:val="28"/>
          <w:lang w:eastAsia="zh-CN"/>
        </w:rPr>
      </w:pPr>
      <w:r>
        <w:rPr>
          <w:rFonts w:hint="eastAsia" w:ascii="仿宋_GB2312" w:hAnsi="仿宋_GB2312" w:eastAsia="仿宋_GB2312" w:cs="仿宋_GB2312"/>
          <w:spacing w:val="0"/>
          <w:sz w:val="28"/>
          <w:szCs w:val="28"/>
          <w:lang w:eastAsia="zh-CN"/>
        </w:rPr>
        <w:t xml:space="preserve">二级标题：小三号楷体 </w:t>
      </w:r>
      <w:r>
        <w:rPr>
          <w:rFonts w:hint="eastAsia" w:ascii="仿宋_GB2312" w:hAnsi="仿宋_GB2312" w:eastAsia="仿宋_GB2312" w:cs="仿宋_GB2312"/>
          <w:sz w:val="28"/>
          <w:szCs w:val="28"/>
          <w:lang w:eastAsia="zh-CN"/>
        </w:rPr>
        <w:t>GB</w:t>
      </w:r>
      <w:r>
        <w:rPr>
          <w:rFonts w:hint="eastAsia" w:ascii="仿宋_GB2312" w:hAnsi="仿宋_GB2312" w:eastAsia="仿宋_GB2312" w:cs="仿宋_GB2312"/>
          <w:spacing w:val="0"/>
          <w:sz w:val="28"/>
          <w:szCs w:val="28"/>
          <w:lang w:eastAsia="zh-CN"/>
        </w:rPr>
        <w:t>_2312；</w:t>
      </w:r>
    </w:p>
    <w:p w14:paraId="3D06290F">
      <w:pPr>
        <w:pStyle w:val="3"/>
        <w:spacing w:before="0" w:line="560" w:lineRule="exact"/>
        <w:ind w:left="5" w:right="97" w:firstLine="640"/>
        <w:jc w:val="left"/>
        <w:rPr>
          <w:rFonts w:hint="eastAsia" w:ascii="仿宋_GB2312" w:hAnsi="仿宋_GB2312" w:eastAsia="仿宋_GB2312" w:cs="仿宋_GB2312"/>
          <w:spacing w:val="0"/>
          <w:sz w:val="28"/>
          <w:szCs w:val="28"/>
          <w:lang w:eastAsia="zh-CN"/>
        </w:rPr>
      </w:pPr>
      <w:r>
        <w:rPr>
          <w:rFonts w:hint="eastAsia" w:ascii="仿宋_GB2312" w:hAnsi="仿宋_GB2312" w:eastAsia="仿宋_GB2312" w:cs="仿宋_GB2312"/>
          <w:spacing w:val="0"/>
          <w:sz w:val="28"/>
          <w:szCs w:val="28"/>
          <w:lang w:eastAsia="zh-CN"/>
        </w:rPr>
        <w:t xml:space="preserve">正文字体：小三号仿宋 </w:t>
      </w:r>
      <w:r>
        <w:rPr>
          <w:rFonts w:hint="eastAsia" w:ascii="仿宋_GB2312" w:hAnsi="仿宋_GB2312" w:eastAsia="仿宋_GB2312" w:cs="仿宋_GB2312"/>
          <w:sz w:val="28"/>
          <w:szCs w:val="28"/>
          <w:lang w:eastAsia="zh-CN"/>
        </w:rPr>
        <w:t>GB</w:t>
      </w:r>
      <w:r>
        <w:rPr>
          <w:rFonts w:hint="eastAsia" w:ascii="仿宋_GB2312" w:hAnsi="仿宋_GB2312" w:eastAsia="仿宋_GB2312" w:cs="仿宋_GB2312"/>
          <w:spacing w:val="0"/>
          <w:sz w:val="28"/>
          <w:szCs w:val="28"/>
          <w:lang w:eastAsia="zh-CN"/>
        </w:rPr>
        <w:t>_2312；</w:t>
      </w:r>
    </w:p>
    <w:p w14:paraId="16325F39">
      <w:pPr>
        <w:pStyle w:val="3"/>
        <w:spacing w:before="0" w:line="560" w:lineRule="exact"/>
        <w:ind w:left="5" w:right="97" w:firstLine="640"/>
        <w:jc w:val="left"/>
        <w:rPr>
          <w:rFonts w:hint="eastAsia" w:ascii="仿宋_GB2312" w:hAnsi="仿宋_GB2312" w:eastAsia="仿宋_GB2312" w:cs="仿宋_GB2312"/>
          <w:spacing w:val="0"/>
          <w:sz w:val="28"/>
          <w:szCs w:val="28"/>
          <w:lang w:val="en-US" w:eastAsia="zh-CN"/>
        </w:rPr>
      </w:pPr>
      <w:r>
        <w:rPr>
          <w:rFonts w:hint="eastAsia" w:ascii="仿宋_GB2312" w:hAnsi="仿宋_GB2312" w:eastAsia="仿宋_GB2312" w:cs="仿宋_GB2312"/>
          <w:spacing w:val="0"/>
          <w:sz w:val="28"/>
          <w:szCs w:val="28"/>
          <w:lang w:eastAsia="zh-CN"/>
        </w:rPr>
        <w:t>图表名称：五号黑体。</w:t>
      </w:r>
    </w:p>
    <w:p w14:paraId="21B74330">
      <w:pPr>
        <w:pStyle w:val="3"/>
        <w:numPr>
          <w:ilvl w:val="-1"/>
          <w:numId w:val="0"/>
        </w:numPr>
        <w:spacing w:before="0" w:line="560" w:lineRule="exact"/>
        <w:ind w:left="627" w:right="0" w:firstLine="0"/>
        <w:outlineLvl w:val="1"/>
        <w:rPr>
          <w:rFonts w:hint="eastAsia" w:ascii="楷体" w:hAnsi="楷体" w:eastAsia="楷体" w:cs="楷体"/>
          <w:b w:val="0"/>
          <w:bCs w:val="0"/>
          <w:color w:val="auto"/>
          <w:spacing w:val="0"/>
          <w:sz w:val="28"/>
          <w:szCs w:val="28"/>
          <w:lang w:val="en-US" w:eastAsia="zh-CN"/>
        </w:rPr>
      </w:pPr>
      <w:r>
        <w:rPr>
          <w:rFonts w:hint="eastAsia" w:ascii="楷体" w:hAnsi="楷体" w:eastAsia="楷体" w:cs="楷体"/>
          <w:b w:val="0"/>
          <w:bCs w:val="0"/>
          <w:color w:val="auto"/>
          <w:spacing w:val="0"/>
          <w:sz w:val="28"/>
          <w:szCs w:val="28"/>
          <w:lang w:val="en-US" w:eastAsia="zh-CN"/>
        </w:rPr>
        <w:t>（二）图标、数据</w:t>
      </w:r>
    </w:p>
    <w:p w14:paraId="064C99BE">
      <w:pPr>
        <w:pStyle w:val="3"/>
        <w:numPr>
          <w:ilvl w:val="-1"/>
          <w:numId w:val="0"/>
        </w:numPr>
        <w:spacing w:before="0" w:line="560" w:lineRule="exact"/>
        <w:ind w:left="5" w:right="97" w:rightChars="0" w:firstLine="640" w:firstLineChars="0"/>
        <w:jc w:val="left"/>
        <w:rPr>
          <w:rFonts w:hint="eastAsia" w:ascii="仿宋_GB2312" w:hAnsi="仿宋_GB2312" w:eastAsia="仿宋_GB2312" w:cs="仿宋_GB2312"/>
          <w:spacing w:val="0"/>
          <w:sz w:val="28"/>
          <w:szCs w:val="28"/>
          <w:lang w:val="en-US" w:eastAsia="zh-CN"/>
        </w:rPr>
      </w:pPr>
      <w:r>
        <w:rPr>
          <w:rFonts w:hint="eastAsia" w:ascii="仿宋_GB2312" w:hAnsi="仿宋_GB2312" w:eastAsia="仿宋_GB2312" w:cs="仿宋_GB2312"/>
          <w:spacing w:val="0"/>
          <w:sz w:val="28"/>
          <w:szCs w:val="28"/>
          <w:lang w:val="en-US" w:eastAsia="zh-CN"/>
        </w:rPr>
        <w:t>可包含必要的图表、数据等，可结合文字内容适当配图。</w:t>
      </w:r>
    </w:p>
    <w:p w14:paraId="223130D1">
      <w:pPr>
        <w:pStyle w:val="3"/>
        <w:numPr>
          <w:ilvl w:val="-1"/>
          <w:numId w:val="0"/>
        </w:numPr>
        <w:spacing w:before="0" w:line="560" w:lineRule="exact"/>
        <w:ind w:left="5" w:right="97" w:rightChars="0" w:firstLine="640" w:firstLineChars="0"/>
        <w:jc w:val="left"/>
        <w:rPr>
          <w:rFonts w:hint="eastAsia" w:ascii="仿宋_GB2312" w:hAnsi="仿宋_GB2312" w:eastAsia="仿宋_GB2312" w:cs="仿宋_GB2312"/>
          <w:spacing w:val="0"/>
          <w:sz w:val="28"/>
          <w:szCs w:val="28"/>
          <w:lang w:val="en-US" w:eastAsia="zh-CN"/>
        </w:rPr>
      </w:pPr>
      <w:r>
        <w:rPr>
          <w:rFonts w:hint="eastAsia" w:ascii="仿宋_GB2312" w:hAnsi="仿宋_GB2312" w:eastAsia="仿宋_GB2312" w:cs="仿宋_GB2312"/>
          <w:spacing w:val="0"/>
          <w:sz w:val="28"/>
          <w:szCs w:val="28"/>
          <w:lang w:val="en-US" w:eastAsia="zh-CN"/>
        </w:rPr>
        <w:t>不要将图片直接嵌在word文件中，而将插图另存为*.jpg或*.jpeg格式，并在文中注明插图位置。</w:t>
      </w:r>
    </w:p>
    <w:p w14:paraId="16A9779A">
      <w:pPr>
        <w:pStyle w:val="3"/>
        <w:numPr>
          <w:ilvl w:val="-1"/>
          <w:numId w:val="0"/>
        </w:numPr>
        <w:spacing w:before="0" w:line="560" w:lineRule="exact"/>
        <w:ind w:left="5" w:right="97" w:rightChars="0" w:firstLine="640" w:firstLineChars="0"/>
        <w:jc w:val="left"/>
        <w:rPr>
          <w:rFonts w:hint="eastAsia" w:ascii="仿宋_GB2312" w:hAnsi="仿宋_GB2312" w:eastAsia="仿宋_GB2312" w:cs="仿宋_GB2312"/>
          <w:spacing w:val="0"/>
          <w:sz w:val="28"/>
          <w:szCs w:val="28"/>
          <w:lang w:val="en-US" w:eastAsia="zh-CN"/>
        </w:rPr>
      </w:pPr>
      <w:r>
        <w:rPr>
          <w:rFonts w:hint="eastAsia" w:ascii="仿宋_GB2312" w:hAnsi="仿宋_GB2312" w:eastAsia="仿宋_GB2312" w:cs="仿宋_GB2312"/>
          <w:spacing w:val="0"/>
          <w:sz w:val="28"/>
          <w:szCs w:val="28"/>
          <w:lang w:val="en-US" w:eastAsia="zh-CN"/>
        </w:rPr>
        <w:t>图表、图片应清晰可辨，使用彩色原图，不可拼图。</w:t>
      </w:r>
    </w:p>
    <w:p w14:paraId="63A3FF5E">
      <w:pPr>
        <w:pStyle w:val="3"/>
        <w:numPr>
          <w:ilvl w:val="-1"/>
          <w:numId w:val="0"/>
        </w:numPr>
        <w:spacing w:before="0" w:line="560" w:lineRule="exact"/>
        <w:ind w:left="627" w:right="0" w:firstLine="0"/>
        <w:outlineLvl w:val="1"/>
        <w:rPr>
          <w:rFonts w:hint="eastAsia" w:ascii="楷体" w:hAnsi="楷体" w:eastAsia="楷体" w:cs="楷体"/>
          <w:b w:val="0"/>
          <w:bCs w:val="0"/>
          <w:color w:val="auto"/>
          <w:spacing w:val="0"/>
          <w:sz w:val="28"/>
          <w:szCs w:val="28"/>
          <w:lang w:val="en-US" w:eastAsia="zh-CN"/>
        </w:rPr>
      </w:pPr>
      <w:r>
        <w:rPr>
          <w:rFonts w:hint="eastAsia" w:ascii="楷体" w:hAnsi="楷体" w:eastAsia="楷体" w:cs="楷体"/>
          <w:b w:val="0"/>
          <w:bCs w:val="0"/>
          <w:color w:val="auto"/>
          <w:spacing w:val="0"/>
          <w:sz w:val="28"/>
          <w:szCs w:val="28"/>
          <w:lang w:val="en-US" w:eastAsia="zh-CN"/>
        </w:rPr>
        <w:t>（三）层级符号</w:t>
      </w:r>
    </w:p>
    <w:p w14:paraId="2C761EA8">
      <w:pPr>
        <w:pStyle w:val="3"/>
        <w:numPr>
          <w:ilvl w:val="0"/>
          <w:numId w:val="0"/>
        </w:numPr>
        <w:spacing w:before="0" w:line="560" w:lineRule="exact"/>
        <w:ind w:left="5" w:right="97" w:firstLine="640"/>
        <w:jc w:val="left"/>
        <w:rPr>
          <w:rFonts w:hint="eastAsia" w:ascii="仿宋_GB2312" w:hAnsi="仿宋_GB2312" w:eastAsia="仿宋_GB2312" w:cs="仿宋_GB2312"/>
          <w:spacing w:val="0"/>
          <w:sz w:val="28"/>
          <w:szCs w:val="28"/>
          <w:lang w:eastAsia="zh-CN"/>
        </w:rPr>
      </w:pPr>
      <w:r>
        <w:rPr>
          <w:rFonts w:hint="eastAsia" w:ascii="仿宋_GB2312" w:hAnsi="仿宋_GB2312" w:eastAsia="仿宋_GB2312" w:cs="仿宋_GB2312"/>
          <w:spacing w:val="0"/>
          <w:sz w:val="28"/>
          <w:szCs w:val="28"/>
          <w:lang w:eastAsia="zh-CN"/>
        </w:rPr>
        <w:t>第一层用“一、……”表示；第二层用“（一）……”表示； 第三层用“1.……”表示；第四层用“（1）……”表示；</w:t>
      </w:r>
    </w:p>
    <w:p w14:paraId="397A5C05">
      <w:pPr>
        <w:keepNext w:val="0"/>
        <w:keepLines w:val="0"/>
        <w:pageBreakBefore w:val="0"/>
        <w:widowControl/>
        <w:kinsoku w:val="0"/>
        <w:wordWrap/>
        <w:overflowPunct/>
        <w:topLinePunct w:val="0"/>
        <w:autoSpaceDE w:val="0"/>
        <w:autoSpaceDN w:val="0"/>
        <w:bidi w:val="0"/>
        <w:adjustRightInd w:val="0"/>
        <w:snapToGrid w:val="0"/>
        <w:spacing w:line="560" w:lineRule="exact"/>
        <w:ind w:firstLine="656" w:firstLineChars="200"/>
        <w:jc w:val="both"/>
        <w:textAlignment w:val="baseline"/>
        <w:rPr>
          <w:rFonts w:hint="eastAsia" w:ascii="仿宋" w:hAnsi="仿宋" w:eastAsia="仿宋" w:cs="仿宋"/>
          <w:snapToGrid w:val="0"/>
          <w:color w:val="000000"/>
          <w:spacing w:val="4"/>
          <w:kern w:val="0"/>
          <w:sz w:val="32"/>
          <w:szCs w:val="32"/>
          <w:lang w:val="en-US" w:eastAsia="en-US" w:bidi="ar-SA"/>
        </w:rPr>
      </w:pPr>
    </w:p>
    <w:p w14:paraId="7C065FCB">
      <w:pPr>
        <w:rPr>
          <w:rFonts w:hint="eastAsia"/>
          <w:spacing w:val="-6"/>
          <w:sz w:val="24"/>
          <w:szCs w:val="24"/>
          <w:lang w:eastAsia="zh-CN"/>
        </w:rPr>
      </w:pPr>
      <w:r>
        <w:rPr>
          <w:rFonts w:hint="eastAsia" w:ascii="仿宋" w:hAnsi="仿宋" w:eastAsia="仿宋" w:cs="仿宋"/>
          <w:spacing w:val="-6"/>
          <w:sz w:val="32"/>
          <w:szCs w:val="32"/>
          <w:lang w:eastAsia="zh-CN"/>
        </w:rPr>
        <w:br w:type="page"/>
      </w:r>
    </w:p>
    <w:p w14:paraId="1EB81977">
      <w:pPr>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附件3：格式参考例文</w:t>
      </w:r>
    </w:p>
    <w:p w14:paraId="16167CE0">
      <w:pPr>
        <w:spacing w:line="560" w:lineRule="exact"/>
        <w:ind w:firstLine="1120" w:firstLineChars="400"/>
        <w:rPr>
          <w:rFonts w:hint="default" w:ascii="仿宋_GB2312" w:hAnsi="仿宋_GB2312" w:eastAsia="仿宋_GB2312" w:cs="仿宋_GB2312"/>
          <w:sz w:val="28"/>
          <w:szCs w:val="28"/>
          <w:lang w:val="en-US" w:eastAsia="zh-CN"/>
        </w:rPr>
      </w:pPr>
    </w:p>
    <w:p w14:paraId="5C8B3AD4">
      <w:pPr>
        <w:pStyle w:val="3"/>
        <w:spacing w:before="0" w:line="560" w:lineRule="exact"/>
        <w:ind w:firstLine="3243" w:firstLineChars="900"/>
        <w:outlineLvl w:val="0"/>
        <w:rPr>
          <w:rFonts w:hint="eastAsia" w:ascii="华文中宋" w:hAnsi="华文中宋" w:eastAsia="华文中宋" w:cs="华文中宋"/>
          <w:b/>
          <w:bCs/>
          <w:snapToGrid w:val="0"/>
          <w:color w:val="000000"/>
          <w:kern w:val="0"/>
          <w:sz w:val="36"/>
          <w:szCs w:val="36"/>
          <w:lang w:val="en-US" w:eastAsia="zh-CN" w:bidi="ar-SA"/>
        </w:rPr>
      </w:pPr>
      <w:r>
        <w:rPr>
          <w:rFonts w:hint="eastAsia" w:ascii="华文中宋" w:hAnsi="华文中宋" w:eastAsia="华文中宋" w:cs="华文中宋"/>
          <w:b/>
          <w:bCs/>
          <w:snapToGrid w:val="0"/>
          <w:color w:val="000000"/>
          <w:kern w:val="0"/>
          <w:sz w:val="36"/>
          <w:szCs w:val="36"/>
          <w:lang w:val="en-US" w:eastAsia="zh-CN" w:bidi="ar-SA"/>
        </w:rPr>
        <w:t>从旁观者到守护者</w:t>
      </w:r>
    </w:p>
    <w:p w14:paraId="1B89F101">
      <w:pPr>
        <w:pStyle w:val="3"/>
        <w:spacing w:before="0" w:line="560" w:lineRule="exact"/>
        <w:ind w:firstLine="1280" w:firstLineChars="400"/>
        <w:outlineLvl w:val="0"/>
        <w:rPr>
          <w:rFonts w:hint="eastAsia" w:ascii="华文中宋" w:hAnsi="华文中宋" w:eastAsia="华文中宋" w:cs="华文中宋"/>
          <w:b w:val="0"/>
          <w:bCs w:val="0"/>
          <w:snapToGrid w:val="0"/>
          <w:color w:val="000000"/>
          <w:kern w:val="0"/>
          <w:sz w:val="32"/>
          <w:szCs w:val="32"/>
          <w:lang w:val="en-US" w:eastAsia="zh-CN" w:bidi="ar-SA"/>
        </w:rPr>
      </w:pPr>
      <w:r>
        <w:rPr>
          <w:rFonts w:hint="eastAsia" w:ascii="华文中宋" w:hAnsi="华文中宋" w:eastAsia="华文中宋" w:cs="华文中宋"/>
          <w:b w:val="0"/>
          <w:bCs w:val="0"/>
          <w:snapToGrid w:val="0"/>
          <w:color w:val="000000"/>
          <w:kern w:val="0"/>
          <w:sz w:val="32"/>
          <w:szCs w:val="32"/>
          <w:lang w:val="en-US" w:eastAsia="zh-CN" w:bidi="ar-SA"/>
        </w:rPr>
        <w:t>——多措并举提升学生应急救护能力的路径探索</w:t>
      </w:r>
    </w:p>
    <w:p w14:paraId="770E0165">
      <w:pPr>
        <w:pStyle w:val="3"/>
        <w:spacing w:before="0" w:line="560" w:lineRule="exact"/>
        <w:ind w:left="0" w:leftChars="0" w:firstLine="0" w:firstLineChars="0"/>
        <w:jc w:val="center"/>
        <w:rPr>
          <w:rFonts w:hint="eastAsia" w:ascii="仿宋_GB2312" w:hAnsi="仿宋_GB2312" w:eastAsia="仿宋_GB2312" w:cs="仿宋_GB2312"/>
          <w:spacing w:val="0"/>
          <w:sz w:val="30"/>
          <w:szCs w:val="30"/>
          <w:lang w:eastAsia="zh-CN"/>
        </w:rPr>
      </w:pPr>
      <w:r>
        <w:rPr>
          <w:rFonts w:hint="eastAsia" w:ascii="仿宋_GB2312" w:hAnsi="仿宋_GB2312" w:eastAsia="仿宋_GB2312" w:cs="仿宋_GB2312"/>
          <w:spacing w:val="0"/>
          <w:sz w:val="30"/>
          <w:szCs w:val="30"/>
          <w:lang w:eastAsia="zh-CN"/>
        </w:rPr>
        <w:t>华东师范大学附属天山学校</w:t>
      </w:r>
    </w:p>
    <w:p w14:paraId="1B1EE7C0">
      <w:pPr>
        <w:pStyle w:val="3"/>
        <w:spacing w:before="219" w:line="219" w:lineRule="auto"/>
        <w:ind w:left="0" w:leftChars="0" w:firstLine="0" w:firstLineChars="0"/>
        <w:jc w:val="center"/>
        <w:rPr>
          <w:rFonts w:hint="eastAsia" w:ascii="仿宋_GB2312" w:hAnsi="仿宋_GB2312" w:eastAsia="仿宋_GB2312" w:cs="仿宋_GB2312"/>
          <w:spacing w:val="0"/>
          <w:sz w:val="30"/>
          <w:szCs w:val="30"/>
          <w:lang w:eastAsia="zh-CN"/>
        </w:rPr>
      </w:pPr>
    </w:p>
    <w:p w14:paraId="6CE578A8">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2" w:firstLineChars="200"/>
        <w:jc w:val="left"/>
        <w:textAlignment w:val="baseline"/>
        <w:outlineLvl w:val="0"/>
        <w:rPr>
          <w:rFonts w:hint="eastAsia" w:ascii="黑体" w:hAnsi="黑体" w:eastAsia="黑体" w:cs="黑体"/>
          <w:b/>
          <w:bCs/>
          <w:spacing w:val="10"/>
          <w:kern w:val="0"/>
          <w:sz w:val="30"/>
          <w:szCs w:val="30"/>
          <w:lang w:val="en-US" w:eastAsia="zh-CN"/>
        </w:rPr>
      </w:pPr>
      <w:r>
        <w:rPr>
          <w:rFonts w:hint="eastAsia" w:ascii="黑体" w:hAnsi="黑体" w:eastAsia="黑体" w:cs="黑体"/>
          <w:b/>
          <w:bCs/>
          <w:spacing w:val="10"/>
          <w:kern w:val="0"/>
          <w:sz w:val="30"/>
          <w:szCs w:val="30"/>
          <w:lang w:val="en-US" w:eastAsia="zh-CN"/>
        </w:rPr>
        <w:t>一、案例背景</w:t>
      </w:r>
    </w:p>
    <w:p w14:paraId="36B6EDBA">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560" w:lineRule="exact"/>
        <w:ind w:right="275" w:rightChars="0"/>
        <w:jc w:val="both"/>
        <w:textAlignment w:val="baseline"/>
        <w:rPr>
          <w:rFonts w:hint="eastAsia" w:ascii="方正仿宋_GB2312" w:hAnsi="方正仿宋_GB2312" w:eastAsia="方正仿宋_GB2312" w:cs="方正仿宋_GB2312"/>
          <w:kern w:val="0"/>
          <w:sz w:val="30"/>
          <w:szCs w:val="30"/>
          <w:lang w:val="en-US" w:eastAsia="zh-CN"/>
        </w:rPr>
      </w:pPr>
      <w:r>
        <w:rPr>
          <w:rFonts w:hint="eastAsia" w:ascii="宋体" w:hAnsi="宋体" w:eastAsia="宋体" w:cs="宋体"/>
          <w:spacing w:val="-14"/>
          <w:sz w:val="24"/>
          <w:szCs w:val="24"/>
          <w:lang w:val="en-US" w:eastAsia="zh-CN"/>
        </w:rPr>
        <w:t xml:space="preserve">    </w:t>
      </w:r>
      <w:r>
        <w:rPr>
          <w:rFonts w:hint="eastAsia" w:ascii="方正仿宋_GB2312" w:hAnsi="方正仿宋_GB2312" w:eastAsia="方正仿宋_GB2312" w:cs="方正仿宋_GB2312"/>
          <w:kern w:val="0"/>
          <w:sz w:val="30"/>
          <w:szCs w:val="30"/>
          <w:lang w:val="en-US" w:eastAsia="zh-CN"/>
        </w:rPr>
        <w:t xml:space="preserve"> </w:t>
      </w:r>
      <w:r>
        <w:rPr>
          <w:rFonts w:hint="eastAsia" w:ascii="仿宋_GB2312" w:hAnsi="仿宋_GB2312" w:eastAsia="仿宋_GB2312" w:cs="仿宋_GB2312"/>
          <w:kern w:val="2"/>
          <w:sz w:val="30"/>
          <w:szCs w:val="30"/>
          <w:lang w:val="en-US" w:eastAsia="zh-CN"/>
        </w:rPr>
        <w:t>在快节奏的现代生活中，校园安全与学生健康一直是社会各界关注的焦点。然而，面对突发的意外伤害事件，学生群体往往因缺乏必要的应急救护知识和技能而显得手足无措，多数时候只能作为旁观者，无法及时有效地伸出援手。为了打破这一困境，提升学生在紧急情况下的自救互救能力，我校积极响应国家关于加强公共安全教育的号召，将应急救护培训纳入学生素质教育的重要内容，让学生能够逐步掌握必要的急救技能，并使之从被动的旁观者转变为主动的守护者，为构建和谐安全的校园环境探索出一条新路径。</w:t>
      </w:r>
    </w:p>
    <w:p w14:paraId="4CB74D38">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560" w:lineRule="exact"/>
        <w:ind w:right="275" w:rightChars="0"/>
        <w:jc w:val="both"/>
        <w:textAlignment w:val="baseline"/>
        <w:rPr>
          <w:rFonts w:hint="eastAsia" w:ascii="宋体" w:hAnsi="宋体" w:eastAsia="宋体" w:cs="宋体"/>
          <w:b w:val="0"/>
          <w:bCs w:val="0"/>
          <w:spacing w:val="-3"/>
          <w:sz w:val="24"/>
          <w:szCs w:val="24"/>
          <w:lang w:val="en-US" w:eastAsia="zh-CN"/>
        </w:rPr>
      </w:pPr>
      <w:r>
        <w:rPr>
          <w:rFonts w:hint="eastAsia" w:ascii="宋体" w:hAnsi="宋体" w:eastAsia="宋体" w:cs="宋体"/>
          <w:b w:val="0"/>
          <w:bCs w:val="0"/>
          <w:spacing w:val="-3"/>
          <w:sz w:val="24"/>
          <w:szCs w:val="24"/>
          <w:lang w:val="en-US" w:eastAsia="zh-CN"/>
        </w:rPr>
        <w:t xml:space="preserve">  </w:t>
      </w:r>
      <w:r>
        <w:rPr>
          <w:rFonts w:hint="eastAsia" w:ascii="黑体" w:hAnsi="黑体" w:eastAsia="黑体" w:cs="黑体"/>
          <w:b/>
          <w:bCs/>
          <w:spacing w:val="10"/>
          <w:kern w:val="0"/>
          <w:sz w:val="30"/>
          <w:szCs w:val="30"/>
          <w:lang w:val="en-US" w:eastAsia="zh-CN"/>
        </w:rPr>
        <w:t xml:space="preserve">  二、主要做法</w:t>
      </w:r>
    </w:p>
    <w:p w14:paraId="5FB3ED5E">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560" w:lineRule="exact"/>
        <w:ind w:right="275" w:rightChars="0" w:firstLine="600" w:firstLineChars="200"/>
        <w:jc w:val="both"/>
        <w:textAlignment w:val="baseline"/>
        <w:rPr>
          <w:rFonts w:hint="eastAsia" w:ascii="仿宋_GB2312" w:hAnsi="仿宋_GB2312" w:eastAsia="仿宋_GB2312" w:cs="仿宋_GB2312"/>
          <w:kern w:val="2"/>
          <w:sz w:val="30"/>
          <w:szCs w:val="30"/>
          <w:lang w:val="en-US" w:eastAsia="zh-CN"/>
        </w:rPr>
      </w:pPr>
      <w:r>
        <w:rPr>
          <w:rFonts w:hint="eastAsia" w:ascii="仿宋_GB2312" w:hAnsi="仿宋_GB2312" w:eastAsia="仿宋_GB2312" w:cs="仿宋_GB2312"/>
          <w:kern w:val="2"/>
          <w:sz w:val="30"/>
          <w:szCs w:val="30"/>
          <w:lang w:val="en-US" w:eastAsia="zh-CN"/>
        </w:rPr>
        <w:t>在当今这个快速变化且充满不确定性的时代，教育的意义已远远超越了知识的传授，它更多地承载着对学生全面发展的深切关怀，尤其是对生命安全的重视。我校秉持“为生命成长导航”的办学理念，致力于构建一个既注重学术成就又强调生存技能培养的教育环境。这一理念的核心，在于通过一系列系统化、实战化、常态化的措施，全面增强学生的应急救护意识和能力，为他们未来的生命旅程铺设一条坚实的安全之路。</w:t>
      </w:r>
    </w:p>
    <w:p w14:paraId="3052B1B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560" w:lineRule="exact"/>
        <w:ind w:right="275" w:rightChars="0" w:firstLine="600" w:firstLineChars="200"/>
        <w:jc w:val="both"/>
        <w:textAlignment w:val="baseline"/>
        <w:rPr>
          <w:rFonts w:hint="eastAsia" w:ascii="仿宋_GB2312" w:hAnsi="仿宋_GB2312" w:eastAsia="仿宋_GB2312" w:cs="仿宋_GB2312"/>
          <w:kern w:val="2"/>
          <w:sz w:val="30"/>
          <w:szCs w:val="30"/>
          <w:lang w:val="en-US" w:eastAsia="zh-CN"/>
        </w:rPr>
      </w:pPr>
    </w:p>
    <w:p w14:paraId="7D77D172">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right="0" w:rightChars="0" w:firstLine="584" w:firstLineChars="200"/>
        <w:jc w:val="left"/>
        <w:textAlignment w:val="baseline"/>
        <w:outlineLvl w:val="0"/>
        <w:rPr>
          <w:rFonts w:hint="eastAsia" w:ascii="方正楷体_GB2312" w:hAnsi="方正楷体_GB2312" w:eastAsia="方正楷体_GB2312" w:cs="方正楷体_GB2312"/>
          <w:b w:val="0"/>
          <w:bCs w:val="0"/>
          <w:spacing w:val="-4"/>
          <w:kern w:val="0"/>
          <w:sz w:val="30"/>
          <w:szCs w:val="30"/>
          <w:lang w:val="en-US" w:eastAsia="zh-CN"/>
        </w:rPr>
      </w:pPr>
      <w:r>
        <w:rPr>
          <w:rFonts w:hint="eastAsia" w:ascii="楷体_GB2312" w:hAnsi="楷体_GB2312" w:eastAsia="楷体_GB2312" w:cs="楷体_GB2312"/>
          <w:b w:val="0"/>
          <w:bCs w:val="0"/>
          <w:spacing w:val="-4"/>
          <w:kern w:val="0"/>
          <w:sz w:val="30"/>
          <w:szCs w:val="30"/>
          <w:lang w:val="en-US" w:eastAsia="zh-CN"/>
        </w:rPr>
        <w:t>（一）急救培训进校园：筑牢生命安全的防线</w:t>
      </w:r>
    </w:p>
    <w:p w14:paraId="1238810D">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560" w:lineRule="exact"/>
        <w:ind w:right="275" w:rightChars="0" w:firstLine="600" w:firstLineChars="200"/>
        <w:jc w:val="both"/>
        <w:textAlignment w:val="baseline"/>
        <w:outlineLvl w:val="9"/>
        <w:rPr>
          <w:rFonts w:hint="eastAsia" w:ascii="仿宋_GB2312" w:hAnsi="仿宋_GB2312" w:eastAsia="仿宋_GB2312" w:cs="仿宋_GB2312"/>
          <w:kern w:val="2"/>
          <w:sz w:val="30"/>
          <w:szCs w:val="30"/>
          <w:lang w:val="en-US" w:eastAsia="zh-CN"/>
        </w:rPr>
      </w:pPr>
      <w:r>
        <w:rPr>
          <w:rFonts w:hint="eastAsia" w:ascii="仿宋_GB2312" w:hAnsi="仿宋_GB2312" w:eastAsia="仿宋_GB2312" w:cs="仿宋_GB2312"/>
          <w:kern w:val="2"/>
          <w:sz w:val="30"/>
          <w:szCs w:val="30"/>
          <w:lang w:val="en-US" w:eastAsia="zh-CN"/>
        </w:rPr>
        <w:t>为了有效提升教师在紧急情况下的应对能力，我校分别于2021年7月3日和2024年8月28日，两次携手长宁区红十字会，举办了高水平的应急救护培训活动。这些培训不仅内容丰富、形式多样，而且极具实用价值，旨在通过理论与实践相结合的方式，使每一位教师都能掌握关键时刻救命的技能。培训中，专家们深入浅出地讲解了心肺复苏术（CPR）、AED体外除颤仪的使用以及海姆立克急救法等关键急救知识，确保每位参训教师都能在遇到突发状况时，迅速而准确地采取行动。经过严格培训与考核，我校全体教师均成功获得了救护员证书，这不仅是对他们个人能力的认可，更是对我校生命安全教育成效的有力证明，为构建安全的校园环境筑起了一道坚实的生命“护盾”。</w:t>
      </w:r>
    </w:p>
    <w:p w14:paraId="0A10818E">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right="0" w:rightChars="0" w:firstLine="584" w:firstLineChars="200"/>
        <w:jc w:val="left"/>
        <w:textAlignment w:val="baseline"/>
        <w:outlineLvl w:val="0"/>
        <w:rPr>
          <w:rFonts w:hint="eastAsia" w:ascii="楷体_GB2312" w:hAnsi="楷体_GB2312" w:eastAsia="楷体_GB2312" w:cs="楷体_GB2312"/>
          <w:b w:val="0"/>
          <w:bCs w:val="0"/>
          <w:spacing w:val="-4"/>
          <w:kern w:val="0"/>
          <w:sz w:val="30"/>
          <w:szCs w:val="30"/>
          <w:lang w:val="en-US" w:eastAsia="zh-CN"/>
        </w:rPr>
      </w:pPr>
      <w:r>
        <w:rPr>
          <w:rFonts w:hint="eastAsia" w:ascii="楷体_GB2312" w:hAnsi="楷体_GB2312" w:eastAsia="楷体_GB2312" w:cs="楷体_GB2312"/>
          <w:b w:val="0"/>
          <w:bCs w:val="0"/>
          <w:spacing w:val="-4"/>
          <w:kern w:val="0"/>
          <w:sz w:val="30"/>
          <w:szCs w:val="30"/>
          <w:lang w:val="en-US" w:eastAsia="zh-CN"/>
        </w:rPr>
        <w:t>（二）急救培训进课堂：生命科学素养的培育</w:t>
      </w:r>
    </w:p>
    <w:p w14:paraId="19C66E41">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560" w:lineRule="exact"/>
        <w:ind w:right="275" w:rightChars="0" w:firstLine="600" w:firstLineChars="200"/>
        <w:jc w:val="both"/>
        <w:textAlignment w:val="baseline"/>
        <w:outlineLvl w:val="9"/>
        <w:rPr>
          <w:rFonts w:hint="eastAsia" w:ascii="仿宋_GB2312" w:hAnsi="仿宋_GB2312" w:eastAsia="仿宋_GB2312" w:cs="仿宋_GB2312"/>
          <w:kern w:val="2"/>
          <w:sz w:val="30"/>
          <w:szCs w:val="30"/>
          <w:lang w:val="en-US" w:eastAsia="zh-CN"/>
        </w:rPr>
      </w:pPr>
      <w:r>
        <w:rPr>
          <w:rFonts w:hint="eastAsia" w:ascii="仿宋_GB2312" w:hAnsi="仿宋_GB2312" w:eastAsia="仿宋_GB2312" w:cs="仿宋_GB2312"/>
          <w:kern w:val="2"/>
          <w:sz w:val="30"/>
          <w:szCs w:val="30"/>
          <w:lang w:val="en-US" w:eastAsia="zh-CN"/>
        </w:rPr>
        <w:t>作为我校教育特色之一，生命科学素养的培养被置于极其重要的位置。学校认为，每位学生都应掌握至少一项应急救护本领，作为他们成长道路上不可或缺的一部分。为此，特别开设了生命科学素养plus课程——《红十字应急救护》，该课程不仅涵盖了心肺复苏、AED使用、急救包扎等基础技能，还深入讲解了海姆立克急救法等高级技巧，旨在通过系统的教学，使学生们能够从容应对各种紧急情况。</w:t>
      </w:r>
    </w:p>
    <w:p w14:paraId="1FC755A2">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560" w:lineRule="exact"/>
        <w:ind w:right="275" w:rightChars="0" w:firstLine="600" w:firstLineChars="200"/>
        <w:jc w:val="both"/>
        <w:textAlignment w:val="baseline"/>
        <w:outlineLvl w:val="9"/>
        <w:rPr>
          <w:rFonts w:hint="eastAsia" w:ascii="仿宋_GB2312" w:hAnsi="仿宋_GB2312" w:eastAsia="仿宋_GB2312" w:cs="仿宋_GB2312"/>
          <w:kern w:val="2"/>
          <w:sz w:val="30"/>
          <w:szCs w:val="30"/>
          <w:lang w:val="en-US" w:eastAsia="zh-CN"/>
        </w:rPr>
      </w:pPr>
      <w:r>
        <w:rPr>
          <w:rFonts w:hint="eastAsia" w:ascii="仿宋_GB2312" w:hAnsi="仿宋_GB2312" w:eastAsia="仿宋_GB2312" w:cs="仿宋_GB2312"/>
          <w:kern w:val="2"/>
          <w:sz w:val="30"/>
          <w:szCs w:val="30"/>
          <w:lang w:val="en-US" w:eastAsia="zh-CN"/>
        </w:rPr>
        <w:t>为了确保每位学生都能熟练掌握这些技能，学校将急救培训巧妙地融入了课外活动课程中，并分为两个阶段逐步推进。第一阶段：2022年3月起，学校以“培育生命科学素养”为抓手，开展为期6周的急救培训，普及心肺复苏和现场急救包扎技能，使学生全面掌握应急救护基本技能。第二阶段：2024年5月起，学校卫生室对学生开展三角巾包扎的培训，从最初的基础包扎技能普及，到逐步掌握头部、四肢、手部、大臂等部位的包扎方法，再到由班级卫生委员、体育委员负责的内部教学，直至最后的卫生老师一对一考核，每一个环节都精心设计，确保每位学生都能通过实践加深理解，真正掌握急救技能。2024年，我们更进一步，邀请长宁区红十字会的专家为高三学子进行专项培训考核，内容涵盖“止血包扎”“心肺复苏”“AED除颤仪使用”等，142名高三学生顺利通过考核并获得“救护员初级证书”，这标志着他们在走向社会之前，已经具备了基本的自救互救能力。</w:t>
      </w:r>
    </w:p>
    <w:p w14:paraId="2FE1A2F4">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right="0" w:rightChars="0" w:firstLine="584" w:firstLineChars="200"/>
        <w:jc w:val="left"/>
        <w:textAlignment w:val="baseline"/>
        <w:outlineLvl w:val="0"/>
        <w:rPr>
          <w:rFonts w:hint="eastAsia" w:ascii="楷体_GB2312" w:hAnsi="楷体_GB2312" w:eastAsia="楷体_GB2312" w:cs="楷体_GB2312"/>
          <w:b w:val="0"/>
          <w:bCs w:val="0"/>
          <w:spacing w:val="-4"/>
          <w:kern w:val="0"/>
          <w:sz w:val="30"/>
          <w:szCs w:val="30"/>
          <w:lang w:val="en-US" w:eastAsia="zh-CN"/>
        </w:rPr>
      </w:pPr>
      <w:r>
        <w:rPr>
          <w:rFonts w:hint="eastAsia" w:ascii="楷体_GB2312" w:hAnsi="楷体_GB2312" w:eastAsia="楷体_GB2312" w:cs="楷体_GB2312"/>
          <w:b w:val="0"/>
          <w:bCs w:val="0"/>
          <w:spacing w:val="-4"/>
          <w:kern w:val="0"/>
          <w:sz w:val="30"/>
          <w:szCs w:val="30"/>
          <w:lang w:val="en-US" w:eastAsia="zh-CN"/>
        </w:rPr>
        <w:t>（三）急救体验进场馆：沉浸式学习的力量</w:t>
      </w:r>
    </w:p>
    <w:p w14:paraId="44CC7FAD">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560" w:lineRule="exact"/>
        <w:ind w:right="275" w:rightChars="0" w:firstLine="600" w:firstLineChars="200"/>
        <w:jc w:val="both"/>
        <w:textAlignment w:val="baseline"/>
        <w:outlineLvl w:val="9"/>
        <w:rPr>
          <w:rFonts w:hint="eastAsia" w:ascii="仿宋_GB2312" w:hAnsi="仿宋_GB2312" w:eastAsia="仿宋_GB2312" w:cs="仿宋_GB2312"/>
          <w:kern w:val="2"/>
          <w:sz w:val="30"/>
          <w:szCs w:val="30"/>
          <w:lang w:val="en-US" w:eastAsia="zh-CN"/>
        </w:rPr>
      </w:pPr>
      <w:r>
        <w:rPr>
          <w:rFonts w:hint="eastAsia" w:ascii="仿宋_GB2312" w:hAnsi="仿宋_GB2312" w:eastAsia="仿宋_GB2312" w:cs="仿宋_GB2312"/>
          <w:kern w:val="2"/>
          <w:sz w:val="30"/>
          <w:szCs w:val="30"/>
          <w:lang w:val="en-US" w:eastAsia="zh-CN"/>
        </w:rPr>
        <w:t>为了更好地将理论与实践相结合，我校依托校内防震减灾馆，搭建了一个集教育性、体验性于一体的急救特色平台。该场馆不仅设有地震体验区、消防体验区，还特别设置了自救互救体验区，为学生们提供了模拟灭火、模拟地震、火灾报警、心肺复苏、AED使用、急救包扎等多种实操机会。通过这些生动逼真的模拟场景，学生们能够在安全的环境中体验紧急情况，从而加深对应急救护重要性的认识，并在实践中不断提升自己的应急反应能力。</w:t>
      </w:r>
    </w:p>
    <w:p w14:paraId="07CAA368">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560" w:lineRule="exact"/>
        <w:ind w:right="275" w:rightChars="0" w:firstLine="600" w:firstLineChars="200"/>
        <w:jc w:val="both"/>
        <w:textAlignment w:val="baseline"/>
        <w:outlineLvl w:val="9"/>
        <w:rPr>
          <w:rFonts w:hint="eastAsia" w:ascii="仿宋_GB2312" w:hAnsi="仿宋_GB2312" w:eastAsia="仿宋_GB2312" w:cs="仿宋_GB2312"/>
          <w:kern w:val="2"/>
          <w:sz w:val="30"/>
          <w:szCs w:val="30"/>
          <w:lang w:val="en-US" w:eastAsia="zh-CN"/>
        </w:rPr>
      </w:pPr>
      <w:r>
        <w:rPr>
          <w:rFonts w:hint="eastAsia" w:ascii="仿宋_GB2312" w:hAnsi="仿宋_GB2312" w:eastAsia="仿宋_GB2312" w:cs="仿宋_GB2312"/>
          <w:kern w:val="2"/>
          <w:sz w:val="30"/>
          <w:szCs w:val="30"/>
          <w:lang w:val="en-US" w:eastAsia="zh-CN"/>
        </w:rPr>
        <w:t>此外，每学期的防震减灾日，学校都会组织全校师生参与安全消防逃生演习，由经验丰富的卫生老师和卫生委员现场演示急救操作，如正确的心肺复苏步骤、AED的使用方法等，同时结合生动的生命知识科普，让师生们在实战演练中增长见识，提升技能。特别是2024年的防震减灾教育课，在专业救护老师的指导下，学生们扮演“救护队员”，利用三角巾、纱布等急救材料，对模拟的“伤员”进行紧急止血包扎救护，这种沉浸式的培训方式极大地激发了学生们的学习热情，使他们在参与中学会了急救包扎技能和应急救护本领，真正做到了学以致用。</w:t>
      </w:r>
    </w:p>
    <w:p w14:paraId="707AE52B">
      <w:pPr>
        <w:pStyle w:val="3"/>
        <w:keepNext/>
        <w:keepLines/>
        <w:pageBreakBefore w:val="0"/>
        <w:widowControl w:val="0"/>
        <w:kinsoku w:val="0"/>
        <w:wordWrap/>
        <w:overflowPunct w:val="0"/>
        <w:topLinePunct w:val="0"/>
        <w:autoSpaceDE w:val="0"/>
        <w:autoSpaceDN w:val="0"/>
        <w:bidi w:val="0"/>
        <w:adjustRightInd w:val="0"/>
        <w:snapToGrid w:val="0"/>
        <w:spacing w:before="0" w:line="560" w:lineRule="exact"/>
        <w:ind w:firstLine="584" w:firstLineChars="200"/>
        <w:textAlignment w:val="baseline"/>
        <w:rPr>
          <w:rFonts w:hint="default" w:ascii="楷体_GB2312" w:hAnsi="楷体_GB2312" w:eastAsia="楷体_GB2312" w:cs="楷体_GB2312"/>
          <w:b w:val="0"/>
          <w:bCs w:val="0"/>
          <w:spacing w:val="-6"/>
          <w:sz w:val="30"/>
          <w:szCs w:val="30"/>
          <w:lang w:val="en-US" w:eastAsia="zh-CN"/>
        </w:rPr>
      </w:pPr>
      <w:r>
        <w:rPr>
          <w:rFonts w:hint="eastAsia" w:ascii="楷体_GB2312" w:hAnsi="楷体_GB2312" w:eastAsia="楷体_GB2312" w:cs="楷体_GB2312"/>
          <w:b w:val="0"/>
          <w:bCs w:val="0"/>
          <w:spacing w:val="-4"/>
          <w:kern w:val="0"/>
          <w:sz w:val="30"/>
          <w:szCs w:val="30"/>
          <w:lang w:val="en-US" w:eastAsia="zh-CN"/>
        </w:rPr>
        <w:t>（四）辐射体验进校园</w:t>
      </w:r>
    </w:p>
    <w:p w14:paraId="74FAD7CF">
      <w:pPr>
        <w:pStyle w:val="3"/>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0" w:line="560" w:lineRule="exact"/>
        <w:ind w:right="275" w:rightChars="0" w:firstLine="600" w:firstLineChars="200"/>
        <w:jc w:val="both"/>
        <w:textAlignment w:val="baseline"/>
        <w:outlineLvl w:val="9"/>
        <w:rPr>
          <w:rFonts w:hint="eastAsia" w:ascii="仿宋_GB2312" w:hAnsi="仿宋_GB2312" w:eastAsia="仿宋_GB2312" w:cs="仿宋_GB2312"/>
          <w:kern w:val="2"/>
          <w:sz w:val="30"/>
          <w:szCs w:val="30"/>
          <w:lang w:val="en-US" w:eastAsia="zh-CN"/>
        </w:rPr>
      </w:pPr>
      <w:r>
        <w:rPr>
          <w:rFonts w:hint="eastAsia" w:ascii="仿宋_GB2312" w:hAnsi="仿宋_GB2312" w:eastAsia="仿宋_GB2312" w:cs="仿宋_GB2312"/>
          <w:kern w:val="2"/>
          <w:sz w:val="30"/>
          <w:szCs w:val="30"/>
          <w:lang w:val="en-US" w:eastAsia="zh-CN"/>
        </w:rPr>
        <w:t>为更好地培育学生的应急救护本领，每年都会有很多中小学校到我校防震减灾馆内参观学习，在特色场馆内体验模拟灭火、模拟地震、消防逃生等活动，在项目负责老师的引领下学习心肺复苏、AED除颤仪的使用等急救技能，有力推动了急救资源的辐射带动，将急救技能传授给更多的学校。</w:t>
      </w:r>
    </w:p>
    <w:p w14:paraId="53C65945">
      <w:pPr>
        <w:pStyle w:val="3"/>
        <w:keepNext w:val="0"/>
        <w:keepLines w:val="0"/>
        <w:pageBreakBefore w:val="0"/>
        <w:widowControl w:val="0"/>
        <w:numPr>
          <w:ilvl w:val="0"/>
          <w:numId w:val="1"/>
        </w:numPr>
        <w:kinsoku w:val="0"/>
        <w:wordWrap/>
        <w:overflowPunct/>
        <w:topLinePunct w:val="0"/>
        <w:autoSpaceDE w:val="0"/>
        <w:autoSpaceDN w:val="0"/>
        <w:bidi w:val="0"/>
        <w:adjustRightInd w:val="0"/>
        <w:snapToGrid w:val="0"/>
        <w:spacing w:before="0" w:line="560" w:lineRule="exact"/>
        <w:ind w:right="275" w:rightChars="0" w:firstLine="642" w:firstLineChars="200"/>
        <w:jc w:val="both"/>
        <w:textAlignment w:val="baseline"/>
        <w:rPr>
          <w:rFonts w:hint="eastAsia" w:ascii="黑体" w:hAnsi="黑体" w:eastAsia="黑体" w:cs="黑体"/>
          <w:b/>
          <w:bCs/>
          <w:spacing w:val="10"/>
          <w:kern w:val="0"/>
          <w:sz w:val="30"/>
          <w:szCs w:val="30"/>
          <w:lang w:val="en-US" w:eastAsia="zh-CN"/>
        </w:rPr>
      </w:pPr>
      <w:r>
        <w:rPr>
          <w:rFonts w:hint="eastAsia" w:ascii="黑体" w:hAnsi="黑体" w:eastAsia="黑体" w:cs="黑体"/>
          <w:b/>
          <w:bCs/>
          <w:spacing w:val="10"/>
          <w:kern w:val="0"/>
          <w:sz w:val="30"/>
          <w:szCs w:val="30"/>
          <w:lang w:val="en-US" w:eastAsia="zh-CN"/>
        </w:rPr>
        <w:t>案例成效</w:t>
      </w:r>
    </w:p>
    <w:p w14:paraId="0B1EA540">
      <w:pPr>
        <w:pStyle w:val="3"/>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0" w:line="560" w:lineRule="exact"/>
        <w:ind w:right="275" w:rightChars="0" w:firstLine="600" w:firstLineChars="200"/>
        <w:jc w:val="both"/>
        <w:textAlignment w:val="baseline"/>
        <w:outlineLvl w:val="9"/>
        <w:rPr>
          <w:rFonts w:hint="eastAsia" w:ascii="仿宋_GB2312" w:hAnsi="仿宋_GB2312" w:eastAsia="仿宋_GB2312" w:cs="仿宋_GB2312"/>
          <w:kern w:val="2"/>
          <w:sz w:val="30"/>
          <w:szCs w:val="30"/>
          <w:lang w:val="en-US" w:eastAsia="zh-CN"/>
        </w:rPr>
      </w:pPr>
      <w:r>
        <w:rPr>
          <w:rFonts w:hint="eastAsia" w:ascii="仿宋_GB2312" w:hAnsi="仿宋_GB2312" w:eastAsia="仿宋_GB2312" w:cs="仿宋_GB2312"/>
          <w:kern w:val="2"/>
          <w:sz w:val="30"/>
          <w:szCs w:val="30"/>
          <w:lang w:val="en-US" w:eastAsia="zh-CN"/>
        </w:rPr>
        <w:t>华东师范大学附属天山学校在通过系统化的急救培训、特色课程的开设以及沉浸式学习平台的搭建，学生的应急救护知识和技能得到了全面提升。具体而言，全校学生对应急救护知识的知晓率大幅提升，关键技能如心肺复苏、AED使用以及海姆立克急救法等得到了广泛普及。在模拟演练和实际操作中，学生们展现出了较强的自救互救能力，能够迅速、准确地判断伤情并施救，有效减轻了潜在意外伤害可能带来的后果。此外，应急救护教育的深入开展还促进了校园安全文化氛围的形成，全校师生对安全问题的关注度显著提高，形成了“人人学急救，急救为人人”的良好风尚。这不仅提升了学校的应急管理水平，使其在应对突发事件时能够迅速、有序地开展救援工作，也最大限度地保障了学生的生命安全和身体健康。更为重要的是，学校的应急救护教育成果已产生了广泛的社会影响。通过家长的口口相传和社会媒体的报道，越来越多的学校和机构开始关注并借鉴该校的应急救护教育模式，共同推动社会急救能力的整体提升。这不仅是对该校教育成果的高度认可，也是对未来公共安全教育事业发展的有力推动。</w:t>
      </w:r>
    </w:p>
    <w:p w14:paraId="58A7C693">
      <w:pPr>
        <w:pStyle w:val="3"/>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0" w:line="560" w:lineRule="exact"/>
        <w:ind w:right="275" w:rightChars="0" w:firstLine="642" w:firstLineChars="200"/>
        <w:jc w:val="both"/>
        <w:textAlignment w:val="baseline"/>
        <w:rPr>
          <w:rFonts w:hint="default" w:ascii="方正仿宋_GB2312" w:hAnsi="方正仿宋_GB2312" w:eastAsia="方正仿宋_GB2312" w:cs="方正仿宋_GB2312"/>
          <w:kern w:val="0"/>
          <w:sz w:val="30"/>
          <w:szCs w:val="30"/>
          <w:lang w:val="en-US" w:eastAsia="zh-CN"/>
        </w:rPr>
      </w:pPr>
      <w:r>
        <w:rPr>
          <w:rFonts w:hint="eastAsia" w:ascii="黑体" w:hAnsi="黑体" w:eastAsia="黑体" w:cs="黑体"/>
          <w:b/>
          <w:bCs/>
          <w:spacing w:val="10"/>
          <w:kern w:val="0"/>
          <w:sz w:val="30"/>
          <w:szCs w:val="30"/>
          <w:lang w:val="en-US" w:eastAsia="zh-CN"/>
        </w:rPr>
        <w:t>四、典型意义</w:t>
      </w:r>
    </w:p>
    <w:p w14:paraId="27E9E196">
      <w:pPr>
        <w:pStyle w:val="3"/>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0" w:line="560" w:lineRule="exact"/>
        <w:ind w:right="275" w:rightChars="0" w:firstLine="600" w:firstLineChars="200"/>
        <w:jc w:val="both"/>
        <w:textAlignment w:val="baseline"/>
        <w:outlineLvl w:val="9"/>
        <w:rPr>
          <w:rFonts w:hint="eastAsia" w:ascii="仿宋_GB2312" w:hAnsi="仿宋_GB2312" w:eastAsia="仿宋_GB2312" w:cs="仿宋_GB2312"/>
          <w:kern w:val="2"/>
          <w:sz w:val="30"/>
          <w:szCs w:val="30"/>
          <w:lang w:val="en-US" w:eastAsia="zh-CN"/>
        </w:rPr>
      </w:pPr>
      <w:r>
        <w:rPr>
          <w:rFonts w:hint="eastAsia" w:ascii="仿宋_GB2312" w:hAnsi="仿宋_GB2312" w:eastAsia="仿宋_GB2312" w:cs="仿宋_GB2312"/>
          <w:kern w:val="2"/>
          <w:sz w:val="30"/>
          <w:szCs w:val="30"/>
          <w:lang w:val="en-US" w:eastAsia="zh-CN"/>
        </w:rPr>
        <w:t>华东师范大学附属天山学校通过系统化的应急救护培训，成功地将学生由旁观者转变为守护者，这一案例具有深远的典型意义。首先，它体现了教育不仅仅是知识的传授，更是对学生生命安全的深切关怀。该校通过一系列措施，全面提升了学生的应急救护能力，为他们的生命旅程铺设了一条坚实的安全之路。其次，该校的应急救护教育模式具有高度的可复制性和推广价值。通过将急救培训纳入课堂、搭建沉浸式学习平台，学校有效地提升了学生的自救互救能力，形成了校园安全文化氛围。这种模式不仅可以为其他学校提供借鉴，还可以推广到更广泛的社会领域，共同提升公众的应急救护水平。最后，该案例彰显了教育的社会责任感和使命感。学校积极响应国家关于加强公共安全教育的号召，通过实际行动为社会培养了一批具备应急救护能力的公民，为构建和谐社会做出了积极贡献。综上所述，华东师范大学附属天山学校的应急救护教育案例不仅具有重要的现实意义，也为未来公共安全教育事业的发展提供了有益的参考和启示。</w:t>
      </w:r>
    </w:p>
    <w:p w14:paraId="3C211588">
      <w:pPr>
        <w:spacing w:line="580" w:lineRule="exact"/>
        <w:jc w:val="left"/>
        <w:rPr>
          <w:rFonts w:hint="default" w:ascii="仿宋" w:hAnsi="仿宋" w:eastAsia="仿宋"/>
          <w:sz w:val="24"/>
          <w:szCs w:val="24"/>
          <w:lang w:val="en-US" w:eastAsia="zh-CN"/>
        </w:rPr>
      </w:pPr>
    </w:p>
    <w:p w14:paraId="778C06FE">
      <w:pPr>
        <w:spacing w:line="580" w:lineRule="exact"/>
        <w:jc w:val="left"/>
        <w:rPr>
          <w:rFonts w:hint="default" w:ascii="仿宋" w:hAnsi="仿宋" w:eastAsia="仿宋"/>
          <w:sz w:val="24"/>
          <w:szCs w:val="24"/>
          <w:lang w:val="en-US" w:eastAsia="zh-CN"/>
        </w:rPr>
      </w:pPr>
    </w:p>
    <w:p w14:paraId="0D3F0071">
      <w:pPr>
        <w:spacing w:line="580" w:lineRule="exact"/>
        <w:jc w:val="left"/>
        <w:rPr>
          <w:rFonts w:hint="default" w:ascii="仿宋" w:hAnsi="仿宋" w:eastAsia="仿宋"/>
          <w:color w:val="0000FF"/>
          <w:sz w:val="24"/>
          <w:szCs w:val="24"/>
          <w:lang w:val="en-US" w:eastAsia="zh-CN"/>
        </w:rPr>
      </w:pPr>
    </w:p>
    <w:sectPr>
      <w:footerReference r:id="rId3" w:type="default"/>
      <w:pgSz w:w="11906" w:h="16838"/>
      <w:pgMar w:top="1417" w:right="1416" w:bottom="1417" w:left="1418"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EFCA4BA-D046-4180-A5F3-5EE61C2B2282}"/>
  </w:font>
  <w:font w:name="黑体">
    <w:panose1 w:val="02010609060101010101"/>
    <w:charset w:val="86"/>
    <w:family w:val="auto"/>
    <w:pitch w:val="default"/>
    <w:sig w:usb0="800002BF" w:usb1="38CF7CFA" w:usb2="00000016" w:usb3="00000000" w:csb0="00040001" w:csb1="00000000"/>
    <w:embedRegular r:id="rId2" w:fontKey="{52A3C748-CE78-400E-BCB9-3616AFCCE23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embedRegular r:id="rId3" w:fontKey="{8BB3C442-2815-48FE-9C55-B72510FC357E}"/>
  </w:font>
  <w:font w:name="华文中宋">
    <w:panose1 w:val="02010600040101010101"/>
    <w:charset w:val="86"/>
    <w:family w:val="auto"/>
    <w:pitch w:val="default"/>
    <w:sig w:usb0="00000287" w:usb1="080F0000" w:usb2="00000000" w:usb3="00000000" w:csb0="0004009F" w:csb1="DFD70000"/>
    <w:embedRegular r:id="rId4" w:fontKey="{F01CC2FD-AF5A-41CB-A684-D4551A59EFDB}"/>
  </w:font>
  <w:font w:name="楷体">
    <w:panose1 w:val="02010609060101010101"/>
    <w:charset w:val="86"/>
    <w:family w:val="auto"/>
    <w:pitch w:val="default"/>
    <w:sig w:usb0="800002BF" w:usb1="38CF7CFA" w:usb2="00000016" w:usb3="00000000" w:csb0="00040001" w:csb1="00000000"/>
    <w:embedRegular r:id="rId5" w:fontKey="{405DC2AE-0A3F-4E96-BD5D-7FA4DBBF88D2}"/>
  </w:font>
  <w:font w:name="仿宋">
    <w:panose1 w:val="02010609060101010101"/>
    <w:charset w:val="86"/>
    <w:family w:val="modern"/>
    <w:pitch w:val="default"/>
    <w:sig w:usb0="800002BF" w:usb1="38CF7CFA" w:usb2="00000016" w:usb3="00000000" w:csb0="00040001" w:csb1="00000000"/>
    <w:embedRegular r:id="rId6" w:fontKey="{3B7B1B58-0C23-44DE-A045-AC1099233E6E}"/>
  </w:font>
  <w:font w:name="方正仿宋_GB2312">
    <w:panose1 w:val="02000000000000000000"/>
    <w:charset w:val="86"/>
    <w:family w:val="auto"/>
    <w:pitch w:val="default"/>
    <w:sig w:usb0="A00002BF" w:usb1="184F6CFA" w:usb2="00000012" w:usb3="00000000" w:csb0="00040001" w:csb1="00000000"/>
    <w:embedRegular r:id="rId7" w:fontKey="{6222A942-08AC-4170-9EC0-8E6ED2BBF821}"/>
  </w:font>
  <w:font w:name="方正楷体_GB2312">
    <w:panose1 w:val="02000000000000000000"/>
    <w:charset w:val="86"/>
    <w:family w:val="auto"/>
    <w:pitch w:val="default"/>
    <w:sig w:usb0="A00002BF" w:usb1="184F6CFA" w:usb2="00000012" w:usb3="00000000" w:csb0="00040001" w:csb1="00000000"/>
    <w:embedRegular r:id="rId8" w:fontKey="{D374ED0C-7AC4-4D19-ACAE-26DA154770FB}"/>
  </w:font>
  <w:font w:name="楷体_GB2312">
    <w:panose1 w:val="02010609030101010101"/>
    <w:charset w:val="86"/>
    <w:family w:val="modern"/>
    <w:pitch w:val="default"/>
    <w:sig w:usb0="00000001" w:usb1="080E0000" w:usb2="00000000" w:usb3="00000000" w:csb0="00040000" w:csb1="00000000"/>
    <w:embedRegular r:id="rId9" w:fontKey="{A38FAC58-7F59-40F7-9F0D-44EEBFAC3004}"/>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51AD2">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66FD24">
                          <w:pPr>
                            <w:pStyle w:val="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  \* MERGEFORMAT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366FD24">
                    <w:pPr>
                      <w:pStyle w:val="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  \* MERGEFORMAT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BCE46B"/>
    <w:multiLevelType w:val="singleLevel"/>
    <w:tmpl w:val="66BCE46B"/>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yZjA1MzczZDIyNTMyM2JlMGUwYWE2Y2RlMzhiMzcifQ=="/>
  </w:docVars>
  <w:rsids>
    <w:rsidRoot w:val="007C55E1"/>
    <w:rsid w:val="00021506"/>
    <w:rsid w:val="00380468"/>
    <w:rsid w:val="003A05A9"/>
    <w:rsid w:val="003E2301"/>
    <w:rsid w:val="00670F02"/>
    <w:rsid w:val="006B442C"/>
    <w:rsid w:val="00722BC3"/>
    <w:rsid w:val="007B5166"/>
    <w:rsid w:val="007C55E1"/>
    <w:rsid w:val="00845307"/>
    <w:rsid w:val="008A01BC"/>
    <w:rsid w:val="009002F8"/>
    <w:rsid w:val="009E70F5"/>
    <w:rsid w:val="00A4369A"/>
    <w:rsid w:val="00AF4B7A"/>
    <w:rsid w:val="00B02576"/>
    <w:rsid w:val="00B31D9A"/>
    <w:rsid w:val="00C304F1"/>
    <w:rsid w:val="00C31329"/>
    <w:rsid w:val="00CE7F9A"/>
    <w:rsid w:val="00CF1E1A"/>
    <w:rsid w:val="00DB6E8F"/>
    <w:rsid w:val="00DE6E3D"/>
    <w:rsid w:val="00DF3269"/>
    <w:rsid w:val="00E500BF"/>
    <w:rsid w:val="00EF40D9"/>
    <w:rsid w:val="00F41C95"/>
    <w:rsid w:val="00F767CE"/>
    <w:rsid w:val="0102173A"/>
    <w:rsid w:val="01214C42"/>
    <w:rsid w:val="0132783D"/>
    <w:rsid w:val="01A050EF"/>
    <w:rsid w:val="01F208C4"/>
    <w:rsid w:val="026C4FD1"/>
    <w:rsid w:val="02BF15A4"/>
    <w:rsid w:val="03D1333D"/>
    <w:rsid w:val="03F51722"/>
    <w:rsid w:val="047343F5"/>
    <w:rsid w:val="065E22DE"/>
    <w:rsid w:val="07402317"/>
    <w:rsid w:val="09526CCE"/>
    <w:rsid w:val="0A7632A8"/>
    <w:rsid w:val="0B9E444D"/>
    <w:rsid w:val="0C175FAD"/>
    <w:rsid w:val="0C927FE6"/>
    <w:rsid w:val="0D696CDD"/>
    <w:rsid w:val="0DFF319D"/>
    <w:rsid w:val="0E0A3F1F"/>
    <w:rsid w:val="0E2A44C3"/>
    <w:rsid w:val="0E511253"/>
    <w:rsid w:val="0E9C774E"/>
    <w:rsid w:val="0EC35F79"/>
    <w:rsid w:val="0FED4DB0"/>
    <w:rsid w:val="12750005"/>
    <w:rsid w:val="132A0CBC"/>
    <w:rsid w:val="14171240"/>
    <w:rsid w:val="1481490C"/>
    <w:rsid w:val="154F4A0A"/>
    <w:rsid w:val="16020A3D"/>
    <w:rsid w:val="163720D4"/>
    <w:rsid w:val="16C76B44"/>
    <w:rsid w:val="17C90AA4"/>
    <w:rsid w:val="17FD24FB"/>
    <w:rsid w:val="188E3A9B"/>
    <w:rsid w:val="18BC4164"/>
    <w:rsid w:val="1A8E28F8"/>
    <w:rsid w:val="1C534DE0"/>
    <w:rsid w:val="1C8E3F2E"/>
    <w:rsid w:val="1DA63635"/>
    <w:rsid w:val="1DA84CB7"/>
    <w:rsid w:val="1DEC729A"/>
    <w:rsid w:val="1E081BFA"/>
    <w:rsid w:val="1E1004B7"/>
    <w:rsid w:val="1E57048B"/>
    <w:rsid w:val="20564E9E"/>
    <w:rsid w:val="22272F03"/>
    <w:rsid w:val="23273161"/>
    <w:rsid w:val="232F3512"/>
    <w:rsid w:val="23C44815"/>
    <w:rsid w:val="23FA3D93"/>
    <w:rsid w:val="24661428"/>
    <w:rsid w:val="25B76974"/>
    <w:rsid w:val="2686173A"/>
    <w:rsid w:val="26D46F5B"/>
    <w:rsid w:val="275D6B12"/>
    <w:rsid w:val="27783CD8"/>
    <w:rsid w:val="294065BD"/>
    <w:rsid w:val="29712D49"/>
    <w:rsid w:val="2AEE5D94"/>
    <w:rsid w:val="2B7E4FB2"/>
    <w:rsid w:val="2BD5778F"/>
    <w:rsid w:val="2C6E17C2"/>
    <w:rsid w:val="2CB35427"/>
    <w:rsid w:val="2D4F3FFF"/>
    <w:rsid w:val="2DC07DFB"/>
    <w:rsid w:val="2DF23873"/>
    <w:rsid w:val="2EC359B5"/>
    <w:rsid w:val="2F065CE2"/>
    <w:rsid w:val="2F0909AC"/>
    <w:rsid w:val="2F2475BF"/>
    <w:rsid w:val="2F8856E5"/>
    <w:rsid w:val="2FD225A9"/>
    <w:rsid w:val="30167316"/>
    <w:rsid w:val="30656A38"/>
    <w:rsid w:val="308226C6"/>
    <w:rsid w:val="3115220C"/>
    <w:rsid w:val="32FD73FC"/>
    <w:rsid w:val="3357724D"/>
    <w:rsid w:val="33A03224"/>
    <w:rsid w:val="345D50C8"/>
    <w:rsid w:val="34833930"/>
    <w:rsid w:val="34C84BEA"/>
    <w:rsid w:val="35A75BF5"/>
    <w:rsid w:val="35BE789A"/>
    <w:rsid w:val="36301896"/>
    <w:rsid w:val="387B14EE"/>
    <w:rsid w:val="38A77D82"/>
    <w:rsid w:val="38D86FE4"/>
    <w:rsid w:val="38EF5A38"/>
    <w:rsid w:val="392A565E"/>
    <w:rsid w:val="39331DC9"/>
    <w:rsid w:val="395445BC"/>
    <w:rsid w:val="39846181"/>
    <w:rsid w:val="3C272CDB"/>
    <w:rsid w:val="3C3C0578"/>
    <w:rsid w:val="3CDB5233"/>
    <w:rsid w:val="3E330175"/>
    <w:rsid w:val="3EF67B21"/>
    <w:rsid w:val="3F7153F9"/>
    <w:rsid w:val="40A47108"/>
    <w:rsid w:val="40B358A4"/>
    <w:rsid w:val="416C330C"/>
    <w:rsid w:val="43AE4C45"/>
    <w:rsid w:val="446E63AB"/>
    <w:rsid w:val="448C6831"/>
    <w:rsid w:val="44BA6EFA"/>
    <w:rsid w:val="44E200D1"/>
    <w:rsid w:val="45C85530"/>
    <w:rsid w:val="475979C3"/>
    <w:rsid w:val="493A4AAE"/>
    <w:rsid w:val="4979492D"/>
    <w:rsid w:val="4A6C7857"/>
    <w:rsid w:val="4D300071"/>
    <w:rsid w:val="4D9724CF"/>
    <w:rsid w:val="4E007C96"/>
    <w:rsid w:val="4E2E44B5"/>
    <w:rsid w:val="4E5800E3"/>
    <w:rsid w:val="4ECC0D7D"/>
    <w:rsid w:val="4EE74D90"/>
    <w:rsid w:val="4FA445A1"/>
    <w:rsid w:val="504A1A7A"/>
    <w:rsid w:val="50FF3035"/>
    <w:rsid w:val="51C21AE4"/>
    <w:rsid w:val="51EF0175"/>
    <w:rsid w:val="53202F66"/>
    <w:rsid w:val="534704F3"/>
    <w:rsid w:val="53FD6E04"/>
    <w:rsid w:val="54660E4D"/>
    <w:rsid w:val="554D7917"/>
    <w:rsid w:val="55855303"/>
    <w:rsid w:val="55AC0AE1"/>
    <w:rsid w:val="570044FC"/>
    <w:rsid w:val="57084852"/>
    <w:rsid w:val="59413C36"/>
    <w:rsid w:val="59653481"/>
    <w:rsid w:val="5A1804F3"/>
    <w:rsid w:val="5B1A64ED"/>
    <w:rsid w:val="5B3616D7"/>
    <w:rsid w:val="5BB26726"/>
    <w:rsid w:val="5BD34393"/>
    <w:rsid w:val="5C0745E6"/>
    <w:rsid w:val="5C4D498E"/>
    <w:rsid w:val="5D7F0889"/>
    <w:rsid w:val="5DF836A3"/>
    <w:rsid w:val="5E070FAB"/>
    <w:rsid w:val="5E512226"/>
    <w:rsid w:val="5EB6477F"/>
    <w:rsid w:val="5F8E3006"/>
    <w:rsid w:val="5F9F7B97"/>
    <w:rsid w:val="5FD17AC2"/>
    <w:rsid w:val="60EB386A"/>
    <w:rsid w:val="61412A26"/>
    <w:rsid w:val="61577FF9"/>
    <w:rsid w:val="627F7DA5"/>
    <w:rsid w:val="63F64AF7"/>
    <w:rsid w:val="65D53F00"/>
    <w:rsid w:val="67110DC2"/>
    <w:rsid w:val="685A6CF2"/>
    <w:rsid w:val="68D24E1F"/>
    <w:rsid w:val="69C53AC8"/>
    <w:rsid w:val="69E55F18"/>
    <w:rsid w:val="6A1A3E14"/>
    <w:rsid w:val="6A2133F4"/>
    <w:rsid w:val="6ACF6001"/>
    <w:rsid w:val="6C177E78"/>
    <w:rsid w:val="6C517895"/>
    <w:rsid w:val="6CAB169B"/>
    <w:rsid w:val="6CB022E1"/>
    <w:rsid w:val="6D2A6A64"/>
    <w:rsid w:val="6D8D41A7"/>
    <w:rsid w:val="6DA47829"/>
    <w:rsid w:val="6E0800C9"/>
    <w:rsid w:val="6E3851B0"/>
    <w:rsid w:val="6E6632C4"/>
    <w:rsid w:val="6E7004A6"/>
    <w:rsid w:val="6FAB550E"/>
    <w:rsid w:val="6FD76303"/>
    <w:rsid w:val="71C07997"/>
    <w:rsid w:val="727B0EE6"/>
    <w:rsid w:val="73540D98"/>
    <w:rsid w:val="737E5413"/>
    <w:rsid w:val="747B1953"/>
    <w:rsid w:val="74FD0CFC"/>
    <w:rsid w:val="755328D0"/>
    <w:rsid w:val="773D3837"/>
    <w:rsid w:val="77AE3DED"/>
    <w:rsid w:val="7884044C"/>
    <w:rsid w:val="78C935D5"/>
    <w:rsid w:val="78D44148"/>
    <w:rsid w:val="793F707A"/>
    <w:rsid w:val="79B42B66"/>
    <w:rsid w:val="7A3525A4"/>
    <w:rsid w:val="7A9E02BB"/>
    <w:rsid w:val="7AA5597C"/>
    <w:rsid w:val="7B063091"/>
    <w:rsid w:val="7B1F412D"/>
    <w:rsid w:val="7BFE1403"/>
    <w:rsid w:val="7D8E0949"/>
    <w:rsid w:val="7D9A7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w:basedOn w:val="1"/>
    <w:semiHidden/>
    <w:qFormat/>
    <w:uiPriority w:val="0"/>
    <w:rPr>
      <w:rFonts w:ascii="FangSong_GB2312" w:hAnsi="FangSong_GB2312" w:eastAsia="FangSong_GB2312" w:cs="FangSong_GB2312"/>
      <w:sz w:val="31"/>
      <w:szCs w:val="31"/>
      <w:lang w:val="en-US" w:eastAsia="en-US" w:bidi="ar-SA"/>
    </w:rPr>
  </w:style>
  <w:style w:type="paragraph" w:styleId="4">
    <w:name w:val="Date"/>
    <w:basedOn w:val="1"/>
    <w:next w:val="1"/>
    <w:link w:val="16"/>
    <w:autoRedefine/>
    <w:semiHidden/>
    <w:unhideWhenUsed/>
    <w:qFormat/>
    <w:uiPriority w:val="99"/>
    <w:pPr>
      <w:ind w:left="100" w:leftChars="2500"/>
    </w:pPr>
  </w:style>
  <w:style w:type="paragraph" w:styleId="5">
    <w:name w:val="footer"/>
    <w:basedOn w:val="1"/>
    <w:link w:val="14"/>
    <w:autoRedefine/>
    <w:unhideWhenUsed/>
    <w:qFormat/>
    <w:uiPriority w:val="99"/>
    <w:pPr>
      <w:tabs>
        <w:tab w:val="center" w:pos="4153"/>
        <w:tab w:val="right" w:pos="8306"/>
      </w:tabs>
      <w:snapToGrid w:val="0"/>
      <w:jc w:val="left"/>
    </w:pPr>
    <w:rPr>
      <w:sz w:val="18"/>
      <w:szCs w:val="18"/>
    </w:rPr>
  </w:style>
  <w:style w:type="paragraph" w:styleId="6">
    <w:name w:val="header"/>
    <w:basedOn w:val="1"/>
    <w:link w:val="1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table" w:styleId="9">
    <w:name w:val="Table Grid"/>
    <w:basedOn w:val="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22"/>
    <w:rPr>
      <w:b/>
    </w:rPr>
  </w:style>
  <w:style w:type="character" w:styleId="12">
    <w:name w:val="Hyperlink"/>
    <w:basedOn w:val="10"/>
    <w:semiHidden/>
    <w:unhideWhenUsed/>
    <w:qFormat/>
    <w:uiPriority w:val="99"/>
    <w:rPr>
      <w:color w:val="0000FF"/>
      <w:u w:val="single"/>
    </w:rPr>
  </w:style>
  <w:style w:type="character" w:customStyle="1" w:styleId="13">
    <w:name w:val="页眉 Char"/>
    <w:basedOn w:val="10"/>
    <w:link w:val="6"/>
    <w:autoRedefine/>
    <w:qFormat/>
    <w:uiPriority w:val="99"/>
    <w:rPr>
      <w:sz w:val="18"/>
      <w:szCs w:val="18"/>
    </w:rPr>
  </w:style>
  <w:style w:type="character" w:customStyle="1" w:styleId="14">
    <w:name w:val="页脚 Char"/>
    <w:basedOn w:val="10"/>
    <w:link w:val="5"/>
    <w:autoRedefine/>
    <w:qFormat/>
    <w:uiPriority w:val="99"/>
    <w:rPr>
      <w:sz w:val="18"/>
      <w:szCs w:val="18"/>
    </w:rPr>
  </w:style>
  <w:style w:type="paragraph" w:styleId="15">
    <w:name w:val="List Paragraph"/>
    <w:basedOn w:val="1"/>
    <w:autoRedefine/>
    <w:qFormat/>
    <w:uiPriority w:val="34"/>
    <w:pPr>
      <w:ind w:firstLine="420" w:firstLineChars="200"/>
    </w:pPr>
  </w:style>
  <w:style w:type="character" w:customStyle="1" w:styleId="16">
    <w:name w:val="日期 Char"/>
    <w:basedOn w:val="10"/>
    <w:link w:val="4"/>
    <w:autoRedefine/>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5574</Words>
  <Characters>5700</Characters>
  <Lines>9</Lines>
  <Paragraphs>2</Paragraphs>
  <TotalTime>13</TotalTime>
  <ScaleCrop>false</ScaleCrop>
  <LinksUpToDate>false</LinksUpToDate>
  <CharactersWithSpaces>5739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2022-12-16T05:02:00Z</dcterms:created>
  <dc:creator>user</dc:creator>
  <cp:lastModifiedBy>LV</cp:lastModifiedBy>
  <dcterms:modified xsi:type="dcterms:W3CDTF">2025-05-07T08:32:56Z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2B604995C1A8491980DDB16F7BDF779F_13</vt:lpwstr>
  </property>
  <property fmtid="{D5CDD505-2E9C-101B-9397-08002B2CF9AE}" pid="4" name="KSOTemplateDocerSaveRecord">
    <vt:lpwstr>eyJoZGlkIjoiNzcyZjA1MzczZDIyNTMyM2JlMGUwYWE2Y2RlMzhiMzciLCJ1c2VySWQiOiI1OTA2Mzg3ODkifQ==</vt:lpwstr>
  </property>
</Properties>
</file>